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Aleksandra Porobić (born Marjanovic)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  experience:</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Associate professor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w:t>
      </w:r>
      <w:r w:rsidDel="00000000" w:rsidR="00000000" w:rsidRPr="00000000">
        <w:rPr>
          <w:rtl w:val="0"/>
        </w:rPr>
        <w:t xml:space="preserve">Toxicology</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Assistant professor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Pharmaceutical Analysis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Senior assistant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Pharmaceutical Analysis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Assistant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Pharmaceutical Analysis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Education: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2013. PhD in Pharmacy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Doctoral disertation: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Use of passive sampling systems in determination of endocrine disruptive and genotoxic compounds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University of Sarajevo, Faculty of Pharmacy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Spec.</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Specialist degree in toxicological chemistry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2010. MSc in Pharmaceutical sciences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Master thesis: Investigation of the possibility for determination of polichlorinated biphenyls in fish tissue by imunoassay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University of Sarajevo, Faculty of Pharmacy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widowControl w:val="0"/>
        <w:numPr>
          <w:ilvl w:val="0"/>
          <w:numId w:val="2"/>
        </w:numPr>
        <w:spacing w:after="0" w:lineRule="auto"/>
        <w:ind w:left="720" w:hanging="360"/>
        <w:rPr>
          <w:i w:val="1"/>
        </w:rPr>
      </w:pPr>
      <w:r w:rsidDel="00000000" w:rsidR="00000000" w:rsidRPr="00000000">
        <w:rPr>
          <w:i w:val="1"/>
          <w:rtl w:val="0"/>
        </w:rPr>
        <w:t xml:space="preserve">2007 </w:t>
      </w:r>
      <w:r w:rsidDel="00000000" w:rsidR="00000000" w:rsidRPr="00000000">
        <w:rPr>
          <w:rtl w:val="0"/>
        </w:rPr>
        <w:t xml:space="preserve">HACCP manager</w:t>
      </w:r>
      <w:r w:rsidDel="00000000" w:rsidR="00000000" w:rsidRPr="00000000">
        <w:rPr>
          <w:rtl w:val="0"/>
        </w:rPr>
      </w:r>
    </w:p>
    <w:p w:rsidR="00000000" w:rsidDel="00000000" w:rsidP="00000000" w:rsidRDefault="00000000" w:rsidRPr="00000000" w14:paraId="0000001A">
      <w:pPr>
        <w:widowControl w:val="0"/>
        <w:spacing w:after="0" w:lineRule="auto"/>
        <w:ind w:left="720" w:firstLine="0"/>
        <w:rPr>
          <w:i w:val="1"/>
        </w:rPr>
      </w:pPr>
      <w:r w:rsidDel="00000000" w:rsidR="00000000" w:rsidRPr="00000000">
        <w:rPr>
          <w:i w:val="1"/>
          <w:rtl w:val="0"/>
        </w:rPr>
        <w:t xml:space="preserve">Bio-Base/TÜV Adria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2003 Master of Pharmacy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Diploma thesis: Determination of chlorophenoxy herbicides by TLC in clinical toxicology University of Sarajevo, Faculty of Pharmacy</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Study abroad:</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 Faculty of Chemistry and Chemical Technology, University of Ljubljana and Slovenian European Natural Sciences Research Centre (SENARC)-Workshop, Lipice, Slovenia</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Norwegian Institute for Water Research (NIVA), Oslo, Norway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 RECETOX (Research centre for toxic compounds in the environment), Masaryk University, Brno, Czech Republic</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Norwegian Institute for Water Research (NIVA), Oslo, Norway</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Brno University of Technology, Faculty of Chemistry, Brno, Czech Republic</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Brno University of Technology, Faculty of Chemistry, Brno, Czech Republic</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Charles University in Prague, Faculty of Pharmacy, Hradec Kralove, Czech Republic</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Faculty of Health sciences, University of Ljubljana, Ljubljana, Slovenia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Academic/teaching work: </w:t>
      </w:r>
    </w:p>
    <w:p w:rsidR="00000000" w:rsidDel="00000000" w:rsidP="00000000" w:rsidRDefault="00000000" w:rsidRPr="00000000" w14:paraId="0000002A">
      <w:pPr>
        <w:rPr/>
      </w:pPr>
      <w:r w:rsidDel="00000000" w:rsidR="00000000" w:rsidRPr="00000000">
        <w:rPr>
          <w:i w:val="1"/>
          <w:rtl w:val="0"/>
        </w:rPr>
        <w:t xml:space="preserve">Integrated study of I and II cycle at Faculty of Pharmacy, University of Sarajevo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Subjects: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Toxicological chemistry I, Toxicological chemistry II, Selected topics in Toxicological chemistry: Misuse of drugs in sport, Selected topics in Toxicological chemistry: Food toxicology and food safety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(III cycle) doctoral study </w:t>
      </w:r>
      <w:r w:rsidDel="00000000" w:rsidR="00000000" w:rsidRPr="00000000">
        <w:rPr>
          <w:i w:val="1"/>
          <w:rtl w:val="0"/>
        </w:rPr>
        <w:t xml:space="preserve">at Faculty of Pharmacy, University of Sarajevo</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Subjects: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Endocrine disrupting chemicals in food and environment, Food quality and safety, Nutrition, Dietetics, Intrumental methods for protein and biopharmaceuticals analysis, Research techniques in Pharmacy, Pharmacy and health system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i w:val="1"/>
          <w:rtl w:val="0"/>
        </w:rPr>
        <w:t xml:space="preserve">Specializations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Mentorship in specilaization  in Toxicological chemistry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Other academic positions and </w:t>
      </w:r>
      <w:r w:rsidDel="00000000" w:rsidR="00000000" w:rsidRPr="00000000">
        <w:rPr>
          <w:rFonts w:ascii="Times New Roman" w:cs="Times New Roman" w:eastAsia="Times New Roman" w:hAnsi="Times New Roman"/>
          <w:b w:val="1"/>
          <w:sz w:val="23"/>
          <w:szCs w:val="23"/>
          <w:rtl w:val="0"/>
        </w:rPr>
        <w:t xml:space="preserve">involvements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2006-2013 President of the trade union at Faculty of Pharmacy, University of Sarajevo</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2013-present: member of Center for education at Faculty of Pharmacy, University of Sarajevo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2016-2018  president of the  works council at at Faculty of Pharmacy, University of Sarajevo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numPr>
          <w:ilvl w:val="0"/>
          <w:numId w:val="5"/>
        </w:numPr>
        <w:spacing w:after="120" w:lineRule="auto"/>
        <w:ind w:left="720" w:hanging="360"/>
        <w:jc w:val="both"/>
        <w:rPr/>
      </w:pPr>
      <w:r w:rsidDel="00000000" w:rsidR="00000000" w:rsidRPr="00000000">
        <w:rPr>
          <w:rtl w:val="0"/>
        </w:rPr>
        <w:t xml:space="preserve">Jasmina Djedjibegovic (project leader): Breast milk and cow's milk as sources of exposure to persistent organic pollutants. Financed by Ministry of education, science and youth of Sarajevo Canton,  2019-2020.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Jasmina Djedjibegovic (project leader): ''Heavy metal content in fish and seafood as public health risk factor''. Financed by federal Ministry of education and science BiH (2017-2018)</w:t>
      </w:r>
    </w:p>
    <w:p w:rsidR="00000000" w:rsidDel="00000000" w:rsidP="00000000" w:rsidRDefault="00000000" w:rsidRPr="00000000" w14:paraId="0000003B">
      <w:pPr>
        <w:numPr>
          <w:ilvl w:val="0"/>
          <w:numId w:val="5"/>
        </w:numPr>
        <w:spacing w:after="120" w:lineRule="auto"/>
        <w:ind w:left="714" w:hanging="357"/>
        <w:jc w:val="both"/>
        <w:rPr/>
      </w:pPr>
      <w:r w:rsidDel="00000000" w:rsidR="00000000" w:rsidRPr="00000000">
        <w:rPr>
          <w:rtl w:val="0"/>
        </w:rPr>
        <w:t xml:space="preserve">Ilijana Odak (project leader): ''Determination of chemical content, fotostability and termal stability of essential oils’’. Financed by Federal Ministry of Education, Federation of Bosnia and Herzegovina, (contract number: 05-39-3831-1/15), 2015-2016.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Sissel Ranneklev (project leader): ''Cooperation and capacity building on implementation of the Stockholm convention in BiH'' Norwegian Institute for water Research (NIVA) and Faculty of Pharmacy University of Sarajevo. Financed by Norwegian Ministry of Foreign Affairs (2012-2014) (contract number 0101-2654/13 from 26.11.2013).</w:t>
      </w:r>
    </w:p>
    <w:p w:rsidR="00000000" w:rsidDel="00000000" w:rsidP="00000000" w:rsidRDefault="00000000" w:rsidRPr="00000000" w14:paraId="0000003D">
      <w:pPr>
        <w:numPr>
          <w:ilvl w:val="0"/>
          <w:numId w:val="5"/>
        </w:numPr>
        <w:spacing w:after="120" w:before="0" w:lineRule="auto"/>
        <w:ind w:left="714" w:hanging="357"/>
        <w:jc w:val="both"/>
        <w:rPr/>
      </w:pPr>
      <w:r w:rsidDel="00000000" w:rsidR="00000000" w:rsidRPr="00000000">
        <w:rPr>
          <w:rtl w:val="0"/>
        </w:rPr>
        <w:t xml:space="preserve">Thorjorn Larssen (project leader): Capacity building for local implementation of the Stockholm Convention in BiH (BiHNoPOP). Norwegian Institute for water Research (NIVA) and Faculty of Pharmacy University of Sarajevo. Financed by Norwegian Ministry of Foreign Affairs (2009-2011)</w:t>
      </w:r>
    </w:p>
    <w:p w:rsidR="00000000" w:rsidDel="00000000" w:rsidP="00000000" w:rsidRDefault="00000000" w:rsidRPr="00000000" w14:paraId="0000003E">
      <w:pPr>
        <w:numPr>
          <w:ilvl w:val="0"/>
          <w:numId w:val="5"/>
        </w:numPr>
        <w:spacing w:after="120" w:lineRule="auto"/>
        <w:ind w:left="720" w:hanging="360"/>
        <w:jc w:val="both"/>
        <w:rPr/>
      </w:pPr>
      <w:r w:rsidDel="00000000" w:rsidR="00000000" w:rsidRPr="00000000">
        <w:rPr>
          <w:rtl w:val="0"/>
        </w:rPr>
        <w:t xml:space="preserve">M. Sober (project leader): Persistent Pollutants in Rivers in Bosnia and Hercegovina. Norwegian Institute for water Research (NIVA) and Faculty of Pharmacy University of Sarajevo. (Contract number 01-01-1195/06 from 16. 10. 2006.). Financed by Norwegian Research Council.</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Sober (project leader): Investigation of stereomeric drugs by chromatographic techniques. Contract of Federal Ministry of Education 04-39-3932/03 dated 10. 12. 2003.</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Sober (project leader): Investigation of polichlorinated byphenyls in soil of water catchment area in Canton Sarajevo. Project was financed by Government of Canton Sarajevo (according to decision dated 25. 12. 2003).</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Lekic (project leader): Chromatographic determination of natural and synthetic steroid hormones-growth promoters in animals. Financed by Cantonal Ministry of Science and Education</w:t>
      </w:r>
    </w:p>
    <w:p w:rsidR="00000000" w:rsidDel="00000000" w:rsidP="00000000" w:rsidRDefault="00000000" w:rsidRPr="00000000" w14:paraId="00000042">
      <w:pPr>
        <w:spacing w:after="68" w:lineRule="auto"/>
        <w:ind w:left="720" w:firstLine="0"/>
        <w:jc w:val="both"/>
        <w:rPr>
          <w:b w:val="1"/>
          <w:sz w:val="23"/>
          <w:szCs w:val="23"/>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Selected publications (up to 10):</w:t>
      </w:r>
    </w:p>
    <w:p w:rsidR="00000000" w:rsidDel="00000000" w:rsidP="00000000" w:rsidRDefault="00000000" w:rsidRPr="00000000" w14:paraId="00000044">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Hajric Dz., Smajlovic M., Antunovic B., Smajlovic A, Alagic D., Tahirovic D.,  Brenjo D., Clanjak-Kudra E., Djedjibegovic J., </w:t>
      </w:r>
      <w:r w:rsidDel="00000000" w:rsidR="00000000" w:rsidRPr="00000000">
        <w:rPr>
          <w:rFonts w:ascii="Times New Roman" w:cs="Times New Roman" w:eastAsia="Times New Roman" w:hAnsi="Times New Roman"/>
          <w:b w:val="1"/>
          <w:i w:val="1"/>
          <w:sz w:val="24"/>
          <w:szCs w:val="24"/>
          <w:rtl w:val="0"/>
        </w:rPr>
        <w:t xml:space="preserve">Porobic A</w:t>
      </w:r>
      <w:r w:rsidDel="00000000" w:rsidR="00000000" w:rsidRPr="00000000">
        <w:rPr>
          <w:rFonts w:ascii="Times New Roman" w:cs="Times New Roman" w:eastAsia="Times New Roman" w:hAnsi="Times New Roman"/>
          <w:sz w:val="24"/>
          <w:szCs w:val="24"/>
          <w:rtl w:val="0"/>
        </w:rPr>
        <w:t xml:space="preserve">., Poljak V. Risk assessment of heavy metal exposure via consumption of fish and fish products from the retail market in Bosnia and Herzegovina. Food Control, 2022; Volume 133, Part B, 108631,</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https://doi.org/10.1016/j.foodcont.2021.108631</w:t>
        </w:r>
      </w:hyperlink>
      <w:r w:rsidDel="00000000" w:rsidR="00000000" w:rsidRPr="00000000">
        <w:rPr>
          <w:rtl w:val="0"/>
        </w:rPr>
      </w:r>
    </w:p>
    <w:p w:rsidR="00000000" w:rsidDel="00000000" w:rsidP="00000000" w:rsidRDefault="00000000" w:rsidRPr="00000000" w14:paraId="00000045">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Djedjibegovic J., Lugusic A., Sober M., Saso L. Multivariate analysis of polyphenolic content and in vitro antioxidant capacity of wild and cultivated berries from Bosnia and Herzegovina. Scientific Reports, 2021, volume 11, Article number: 19259,</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https://doi.org/10.1038/s41598-021-98896-8</w:t>
        </w:r>
      </w:hyperlink>
      <w:r w:rsidDel="00000000" w:rsidR="00000000" w:rsidRPr="00000000">
        <w:rPr>
          <w:rtl w:val="0"/>
        </w:rPr>
      </w:r>
    </w:p>
    <w:p w:rsidR="00000000" w:rsidDel="00000000" w:rsidP="00000000" w:rsidRDefault="00000000" w:rsidRPr="00000000" w14:paraId="00000046">
      <w:pPr>
        <w:keepNext w:val="1"/>
        <w:numPr>
          <w:ilvl w:val="3"/>
          <w:numId w:val="1"/>
        </w:numPr>
        <w:spacing w:after="0" w:before="0" w:lineRule="auto"/>
        <w:ind w:left="141.7322834645668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Detenchuk E., Trebse P., </w:t>
      </w:r>
      <w:r w:rsidDel="00000000" w:rsidR="00000000" w:rsidRPr="00000000">
        <w:rPr>
          <w:rFonts w:ascii="Times New Roman" w:cs="Times New Roman" w:eastAsia="Times New Roman" w:hAnsi="Times New Roman"/>
          <w:b w:val="1"/>
          <w:i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Kosyakov D., Ulyanovski N., Bavcon-Kralj M., Lebedev A. Transformation of resveratrol under disinfection conditions. Chemosphere, 2020; 260, 127557.</w:t>
      </w:r>
      <w:r w:rsidDel="00000000" w:rsidR="00000000" w:rsidRPr="00000000">
        <w:rPr>
          <w:rtl w:val="0"/>
        </w:rPr>
      </w:r>
    </w:p>
    <w:p w:rsidR="00000000" w:rsidDel="00000000" w:rsidP="00000000" w:rsidRDefault="00000000" w:rsidRPr="00000000" w14:paraId="00000047">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Djedjibegovic J., </w:t>
      </w:r>
      <w:r w:rsidDel="00000000" w:rsidR="00000000" w:rsidRPr="00000000">
        <w:rPr>
          <w:rFonts w:ascii="Times New Roman" w:cs="Times New Roman" w:eastAsia="Times New Roman" w:hAnsi="Times New Roman"/>
          <w:b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Panieri E., Saso L. Ellagic Acid-Derived Urolithins as Modulators of Oxidative Stress. Oxidative Medicine and Cellular Longevity, 2020; Article ID 5194508, 15 pages,</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https://doi.org/10.1155/2020/5194508</w:t>
        </w:r>
      </w:hyperlink>
      <w:r w:rsidDel="00000000" w:rsidR="00000000" w:rsidRPr="00000000">
        <w:rPr>
          <w:rtl w:val="0"/>
        </w:rPr>
      </w:r>
    </w:p>
    <w:p w:rsidR="00000000" w:rsidDel="00000000" w:rsidP="00000000" w:rsidRDefault="00000000" w:rsidRPr="00000000" w14:paraId="00000048">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Harman, M. Grung, 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E. Fjeld, H. F. V. Braaten, M. Sober, T. Larssen, S. B. Ranneklev. The organic pollutants status of rivers in Bosnia and Herzegovina as determined by a combination of active and passive sampling methods. Environmental Monitoring and Assesment, 2018; 190:283.</w:t>
      </w:r>
    </w:p>
    <w:p w:rsidR="00000000" w:rsidDel="00000000" w:rsidP="00000000" w:rsidRDefault="00000000" w:rsidRPr="00000000" w14:paraId="00000049">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S. Burnic, E. Omeragic, A. Dobraca, F. Caklovica, M. Sober. Polychlorinated biphenyls (PCBs) in fish from the Sana River (Bosnia and Herzegovina): A preliminary study on the health risk in sport fishermen.  Journal of Environmental Science and Health, Part B. 2015; 50(9):638-644.</w:t>
      </w:r>
    </w:p>
    <w:p w:rsidR="00000000" w:rsidDel="00000000" w:rsidP="00000000" w:rsidRDefault="00000000" w:rsidRPr="00000000" w14:paraId="0000004A">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Harman, M. Grung, 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K. Sinanovic, E. Fjeld, S. Rognerud, S.B. Ranneklev, T. Larssen. Screening for Stockholm Convention persistent organic pollutants in the Bosna River (Bosnia and Herzegovina). Environmental Monitoring and Assessment, 2013; 185:1671-1683.</w:t>
      </w:r>
    </w:p>
    <w:p w:rsidR="00000000" w:rsidDel="00000000" w:rsidP="00000000" w:rsidRDefault="00000000" w:rsidRPr="00000000" w14:paraId="0000004B">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T. Larssen, A. Skrbo,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Contents of cadmium, copper, mercury and lead in fish from the Neretva river (Bosnia and Herzegovina) determined by inductively coupled plasma mass spectrometry (ICP-MS). Food Chemistry. 2012; 131 (2): 469-476.</w:t>
      </w:r>
    </w:p>
    <w:p w:rsidR="00000000" w:rsidDel="00000000" w:rsidP="00000000" w:rsidRDefault="00000000" w:rsidRPr="00000000" w14:paraId="0000004C">
      <w:pPr>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A Skrbo, K Sinanovic, T Larssen, M Grung, E Fjeld and S Rognerud. Levels of persistent organic pollutants in the Neretva River (Bosnia and Herzegovina) determined by deployment of semipermeable membrane devices (SPMD). Journal of Environmental Science and Health, part B. 2010; 45 (2): 128-136.</w:t>
      </w:r>
    </w:p>
    <w:p w:rsidR="00000000" w:rsidDel="00000000" w:rsidP="00000000" w:rsidRDefault="00000000" w:rsidRPr="00000000" w14:paraId="0000004D">
      <w:pPr>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Lekić, F. Korać, M. Šober, </w:t>
      </w:r>
      <w:r w:rsidDel="00000000" w:rsidR="00000000" w:rsidRPr="00000000">
        <w:rPr>
          <w:rFonts w:ascii="Times New Roman" w:cs="Times New Roman" w:eastAsia="Times New Roman" w:hAnsi="Times New Roman"/>
          <w:b w:val="1"/>
          <w:i w:val="1"/>
          <w:sz w:val="24"/>
          <w:szCs w:val="24"/>
          <w:rtl w:val="0"/>
        </w:rPr>
        <w:t xml:space="preserve">A. Marjanović</w:t>
      </w:r>
      <w:r w:rsidDel="00000000" w:rsidR="00000000" w:rsidRPr="00000000">
        <w:rPr>
          <w:rFonts w:ascii="Times New Roman" w:cs="Times New Roman" w:eastAsia="Times New Roman" w:hAnsi="Times New Roman"/>
          <w:sz w:val="24"/>
          <w:szCs w:val="24"/>
          <w:rtl w:val="0"/>
        </w:rPr>
        <w:t xml:space="preserve">: Planar Chromatography of Steroid Hormones and Anabolics. Acta Chim Slov, 2007; 54: 88-91.</w:t>
      </w:r>
    </w:p>
    <w:p w:rsidR="00000000" w:rsidDel="00000000" w:rsidP="00000000" w:rsidRDefault="00000000" w:rsidRPr="00000000" w14:paraId="0000004E">
      <w:pPr>
        <w:spacing w:after="0" w:lineRule="auto"/>
        <w:ind w:left="2880" w:firstLine="0"/>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55/2020/5194508" TargetMode="External"/><Relationship Id="rId10" Type="http://schemas.openxmlformats.org/officeDocument/2006/relationships/hyperlink" Target="https://doi.org/10.1155/2020/5194508" TargetMode="External"/><Relationship Id="rId9" Type="http://schemas.openxmlformats.org/officeDocument/2006/relationships/hyperlink" Target="https://doi.org/10.1038/s41598-021-98896-8" TargetMode="External"/><Relationship Id="rId5" Type="http://schemas.openxmlformats.org/officeDocument/2006/relationships/styles" Target="styles.xml"/><Relationship Id="rId6" Type="http://schemas.openxmlformats.org/officeDocument/2006/relationships/hyperlink" Target="https://doi.org/10.1016/j.foodcont.2021.108631" TargetMode="External"/><Relationship Id="rId7" Type="http://schemas.openxmlformats.org/officeDocument/2006/relationships/hyperlink" Target="https://doi.org/10.1016/j.foodcont.2021.108631" TargetMode="External"/><Relationship Id="rId8" Type="http://schemas.openxmlformats.org/officeDocument/2006/relationships/hyperlink" Target="https://doi.org/10.1038/s41598-021-9889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