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rPr>
      </w:pPr>
      <w:r w:rsidDel="00000000" w:rsidR="00000000" w:rsidRPr="00000000">
        <w:rPr>
          <w:b w:val="1"/>
          <w:rtl w:val="0"/>
        </w:rPr>
        <w:t xml:space="preserve">IME I PREZIME: Alisa Elezović</w:t>
      </w:r>
    </w:p>
    <w:p w:rsidR="00000000" w:rsidDel="00000000" w:rsidP="00000000" w:rsidRDefault="00000000" w:rsidRPr="00000000" w14:paraId="00000002">
      <w:pPr>
        <w:pageBreakBefore w:val="0"/>
        <w:rPr>
          <w:b w:val="1"/>
        </w:rPr>
      </w:pPr>
      <w:r w:rsidDel="00000000" w:rsidR="00000000" w:rsidRPr="00000000">
        <w:rPr>
          <w:rtl w:val="0"/>
        </w:rPr>
      </w:r>
    </w:p>
    <w:p w:rsidR="00000000" w:rsidDel="00000000" w:rsidP="00000000" w:rsidRDefault="00000000" w:rsidRPr="00000000" w14:paraId="00000003">
      <w:pPr>
        <w:pageBreakBefore w:val="0"/>
        <w:rPr>
          <w:b w:val="1"/>
        </w:rPr>
      </w:pPr>
      <w:bookmarkStart w:colFirst="0" w:colLast="0" w:name="_heading=h.gjdgxs" w:id="0"/>
      <w:bookmarkEnd w:id="0"/>
      <w:r w:rsidDel="00000000" w:rsidR="00000000" w:rsidRPr="00000000">
        <w:rPr>
          <w:b w:val="1"/>
          <w:rtl w:val="0"/>
        </w:rPr>
        <w:t xml:space="preserve">Radni staž</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2017. Docent</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Katedra za Farmaceutsku tehnologiju</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2012. Viši asistent</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Katedra za Farmaceutsku tehnologiju</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2005. Asistent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Katedra za Farmaceutsku tehnologiju</w:t>
      </w:r>
    </w:p>
    <w:p w:rsidR="00000000" w:rsidDel="00000000" w:rsidP="00000000" w:rsidRDefault="00000000" w:rsidRPr="00000000" w14:paraId="0000000A">
      <w:pPr>
        <w:pageBreakBefore w:val="0"/>
        <w:rPr>
          <w:b w:val="1"/>
        </w:rPr>
      </w:pPr>
      <w:r w:rsidDel="00000000" w:rsidR="00000000" w:rsidRPr="00000000">
        <w:rPr>
          <w:b w:val="1"/>
          <w:rtl w:val="0"/>
        </w:rPr>
        <w:t xml:space="preserve">Obrazovanje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2018. Spec.</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Specijalistički ispit iz Farmaceutske tehnologije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Specijalistički rad: Variranje uslova in vitro metode za ispitivanje permeabilnosti aktivnih supstanci</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Federalno ministarstvo zdravstva</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2016. Dr. sc. farmaceutskih nauka</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Doktorska disertacija : </w:t>
      </w: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Uticaj prisustva fenolnih antioksidanasa u formulaciji i parametara formulacije na fotostabilnost UV filtera</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Univerzitet u Sarajevu, Farmaceutski fakultet</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2015.</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Završen program usavršavanja „Pedagoško obrazovanje i jačanje kompetencija akademskog osoblja Univerziteta u Sarajevu (TRAIN program)“</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Unvierzitet u Sarajevu</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2010. Mr. sc. farmaceutskih nauka</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Magistarska teza: Formulacija i karakterizacija ljekovitog laka za nokte sa flukonazolom</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Univerzitet u Sarajevu, Farmaceutski fakultet</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2005.</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Položen državni stručni ispit za magistra farmacije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Federalno ministarstvo zdravstva</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2004 Mr.ph.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Diplomski rad: Utvrđivanje antiseptičkog djelovanja dermatoloških preparata sa ljiljanovim uljem mikrobiološkom metodom</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Univerzitet u Sarajevu, Farmaceutski fakultet</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pageBreakBefore w:val="0"/>
        <w:rPr>
          <w:b w:val="1"/>
        </w:rPr>
      </w:pPr>
      <w:r w:rsidDel="00000000" w:rsidR="00000000" w:rsidRPr="00000000">
        <w:rPr>
          <w:b w:val="1"/>
          <w:rtl w:val="0"/>
        </w:rPr>
        <w:t xml:space="preserve">Studijski boravci u inostranstvu</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b w:val="1"/>
        </w:rPr>
      </w:pPr>
      <w:r w:rsidDel="00000000" w:rsidR="00000000" w:rsidRPr="00000000">
        <w:rPr>
          <w:b w:val="1"/>
          <w:rtl w:val="0"/>
        </w:rPr>
        <w:t xml:space="preserve">Nastavni rad</w:t>
      </w:r>
    </w:p>
    <w:p w:rsidR="00000000" w:rsidDel="00000000" w:rsidP="00000000" w:rsidRDefault="00000000" w:rsidRPr="00000000" w14:paraId="00000028">
      <w:pPr>
        <w:pageBreakBefore w:val="0"/>
        <w:rPr/>
      </w:pPr>
      <w:r w:rsidDel="00000000" w:rsidR="00000000" w:rsidRPr="00000000">
        <w:rPr>
          <w:i w:val="1"/>
          <w:rtl w:val="0"/>
        </w:rPr>
        <w:t xml:space="preserve">Integrisani studij I i II ciklusa Farmaceutskog fakulteta Univerziteta u Sarajevu </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Predmeti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Oblikovanje lijekova I</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6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Oblikovanje lijekova II</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6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Odabrana poglavlja iz Oblikovanja lijekova - Kozmetologija</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6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Odabrana poglavlja iz Oblikovanja lijekova - Certifikacijski standardi u apoteci</w:t>
      </w:r>
    </w:p>
    <w:p w:rsidR="00000000" w:rsidDel="00000000" w:rsidP="00000000" w:rsidRDefault="00000000" w:rsidRPr="00000000" w14:paraId="0000002D">
      <w:pPr>
        <w:pageBreakBefore w:val="0"/>
        <w:rPr>
          <w:i w:val="1"/>
        </w:rPr>
      </w:pPr>
      <w:r w:rsidDel="00000000" w:rsidR="00000000" w:rsidRPr="00000000">
        <w:rPr>
          <w:i w:val="1"/>
          <w:rtl w:val="0"/>
        </w:rPr>
        <w:t xml:space="preserve">III ciklus studija na Farmaceutskom fakultetu Univerziteta u Sarajevu</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Predmeti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Istraživanje, dizajniranje i razvoj lijekova;</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6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Odabrana poglavlja iz fizikalne farmacije;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6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Odabrana poglavlja iz kozmetologije;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6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Predformulacijske studije i razvoj farmaceutskih oblika;</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6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Savremeni farmaceutski oblici</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6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pageBreakBefore w:val="0"/>
        <w:rPr/>
      </w:pPr>
      <w:r w:rsidDel="00000000" w:rsidR="00000000" w:rsidRPr="00000000">
        <w:rPr>
          <w:i w:val="1"/>
          <w:rtl w:val="0"/>
        </w:rPr>
        <w:t xml:space="preserve">Specijalizacije </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6">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Aktivnosti na Fakultetu: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8" w:before="0" w:line="240"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2018- </w:t>
      </w:r>
      <w:r w:rsidDel="00000000" w:rsidR="00000000" w:rsidRPr="00000000">
        <w:rPr>
          <w:rFonts w:ascii="Times New Roman" w:cs="Times New Roman" w:eastAsia="Times New Roman" w:hAnsi="Times New Roman"/>
          <w:sz w:val="23"/>
          <w:szCs w:val="23"/>
          <w:rtl w:val="0"/>
        </w:rPr>
        <w:t xml:space="preserve">2021</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Prodekan za finansije Farmaceutskog fakulteta Univerziteta u Sarajevu</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Projekti: </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sz w:val="23"/>
          <w:szCs w:val="23"/>
          <w:rtl w:val="0"/>
        </w:rPr>
        <w:t xml:space="preserve">„Ispitivanje stabilnosti UV filtera u kremama za sunčanje i određivanje toksičnih svojstava dobijenih degradacionih produkata“ – bilateralni projekt između Bosne i Hercegovine i Republike Slovenije u 2021. godini; Finansijer: Federalno ministarstvo obrazovanja i nauke (broj: 0101-6962-1/21) - član projektnog tima</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sz w:val="23"/>
          <w:szCs w:val="23"/>
          <w:rtl w:val="0"/>
        </w:rPr>
        <w:t xml:space="preserve">“Innovating quality assessment tools for pharmacy studies in Bosnia and Herzegovina (IQPharm)” - (618089-EPP-1-2020-1-BA-EPPKA2-CBHE-JP), 2021 - 2024 – Finansijer: EACEA – voditelj paketa; voditelj zadataka; učesnik u više zadataka.</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„Poboljšanje topivosti i biološke aktivnosti derivata 3-cinamoil-4-hidroksikumarina inkluzionom kompleksakcijom sa hidrofilnim derivatima β-ciklodekstrina“, naučno-istraživački i istraživačko-razvojni projekt u FBiH u 2017. godini, Finansijer: Federalno ministarstvo obrazovanja i nauke (broj: 0101-8183-1/17) – Saradnik</w:t>
      </w:r>
      <w:r w:rsidDel="00000000" w:rsidR="00000000" w:rsidRPr="00000000">
        <w:rPr>
          <w:rtl w:val="0"/>
        </w:rPr>
      </w:r>
    </w:p>
    <w:p w:rsidR="00000000" w:rsidDel="00000000" w:rsidP="00000000" w:rsidRDefault="00000000" w:rsidRPr="00000000" w14:paraId="0000003F">
      <w:pPr>
        <w:pageBreakBefore w:val="0"/>
        <w:rPr>
          <w:b w:val="1"/>
          <w:sz w:val="23"/>
          <w:szCs w:val="23"/>
        </w:rPr>
      </w:pPr>
      <w:r w:rsidDel="00000000" w:rsidR="00000000" w:rsidRPr="00000000">
        <w:rPr>
          <w:b w:val="1"/>
          <w:sz w:val="23"/>
          <w:szCs w:val="23"/>
          <w:rtl w:val="0"/>
        </w:rPr>
        <w:t xml:space="preserve">Odabrane publikacije (do 10 odabranih publikacija):</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tl w:val="0"/>
        </w:rPr>
        <w:t xml:space="preserve">Dujić T., Cvijić S., Elezović A., Bego T., Imamović-Kadrić S., Malenica M., </w:t>
      </w:r>
      <w:r w:rsidDel="00000000" w:rsidR="00000000" w:rsidRPr="00000000">
        <w:rPr>
          <w:b w:val="1"/>
          <w:rtl w:val="0"/>
        </w:rPr>
        <w:t xml:space="preserve">Elezović A</w:t>
      </w:r>
      <w:r w:rsidDel="00000000" w:rsidR="00000000" w:rsidRPr="00000000">
        <w:rPr>
          <w:rtl w:val="0"/>
        </w:rPr>
        <w:t xml:space="preserve">., Pearson E.R., Kulo A. „Interaction between omeprazole and gliclazide in relation to CYP2C19 phenotype“. Journal of Personalized Medicine, 2021; 11(5): 367</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kx394l9dkkoe" w:id="2"/>
      <w:bookmarkEnd w:id="2"/>
      <w:r w:rsidDel="00000000" w:rsidR="00000000" w:rsidRPr="00000000">
        <w:rPr>
          <w:b w:val="1"/>
          <w:rtl w:val="0"/>
        </w:rPr>
        <w:t xml:space="preserve">Elezović A</w:t>
      </w:r>
      <w:r w:rsidDel="00000000" w:rsidR="00000000" w:rsidRPr="00000000">
        <w:rPr>
          <w:rtl w:val="0"/>
        </w:rPr>
        <w:t xml:space="preserve">., Marić A., Bišćević A., Hadžiabdić J., Škrbo S., Špirtović-Halilović S., Rahić O., Vranić E., Elezović A. „In vitro pH dependent passive transport of ketoprofen and metformin“. ADMET &amp; DMPK, 2021; 9(1): 57-68</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yxvvuk9wysw3" w:id="3"/>
      <w:bookmarkEnd w:id="3"/>
      <w:r w:rsidDel="00000000" w:rsidR="00000000" w:rsidRPr="00000000">
        <w:rPr>
          <w:b w:val="1"/>
          <w:rtl w:val="0"/>
        </w:rPr>
        <w:t xml:space="preserve">Elezović A</w:t>
      </w:r>
      <w:r w:rsidDel="00000000" w:rsidR="00000000" w:rsidRPr="00000000">
        <w:rPr>
          <w:rtl w:val="0"/>
        </w:rPr>
        <w:t xml:space="preserve">., Elezović A., Hadžiabdić J. „The Influence of Plasticizer in Nail Lacquer Formulations on Fluconazole Permeability Through the Bovine Hoof Membrane“. Acta Poloniae Pharmaceutica – Drug Research, 2020; 1(77): 43-56</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hqczvmicdfkc" w:id="4"/>
      <w:bookmarkEnd w:id="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Vranić E., Hadžiabdić J.,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Elezović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Rahić O. „Farmaceutska tehnologija – problemski zadaci i rješenja – I“, Farmaceutski fakultet Univerziteta u Sarajevu, 2018 (univerzitetsko izdanje), CIP - Katalogizacija u publikaciji, Nacionalna i univerzitetska biblioteka, Bosne i Hercegovine, ISBN 978-9958-595-07-3 </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Vranić E., Hadžiabdić J.,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Elezović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Rahić O. „Farmaceutska tehnologija – problemski zadaci i rješenja – II“, Farmaceutski fakultet Univerziteta u Sarajevu, 2018 (univerzitetsko izdanje), CIP - Katalogizacija u publikaciji, Nacionalna i univerzitetska biblioteka, Bosne i Hercegovine, ISBN 978-9958-595-08-0</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Elezović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Hadžiabdić J., Vranić E., Rahić O., Elezović A. „Pilot Study on Variation of Dynamic Diffusion Cell Artificial Membrane Method for the Assessment of Active Substances Permeability“. RJPBCS, 2019 ; 10(3): 64-75</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Hadžiabdić J., Bureković A., Demirović A., Rahić 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Elezović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“Comparison of Pharmaceutical-Technological Properties of Commercially Available Ranitidine Tablets”. IOSR Journal of Pharmacy, 2018; 8(3): 19-31</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Elezović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Hadžiabdić J., Rahić O., Elezović A., Regdon jr G, Vranić E. </w:t>
      </w:r>
      <w:r w:rsidDel="00000000" w:rsidR="00000000" w:rsidRPr="00000000">
        <w:rPr>
          <w:rtl w:val="0"/>
        </w:rPr>
        <w:t xml:space="preserve">Varying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conditions of in vitro method for assessment of active substances permeability. 12</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Central European Symposium on Pharmaceutical Technology and Regulatory Affairs, Szeged, Hungary, 20. – 22. Septembar, 2018. Acta Pharmaceutica Hungarica 2018; 3: 194, P10/1</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Rahić 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Elezović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Hadžiabdić J., Mrhar A., Vranić E. Influence of polymethacrylate polymer coating on shape and surface morphology of pantoprazole pellets, 11</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Central European Symposium on Pharmaceutical Technology, Belgrade, Serbia, 22.-24. Septembar 2016, Arhiv za farmaciju 2016; 66:305, PP114</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Vranić E., Rahić O., Hadžiabdić J.,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Elezović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Bošković D.: “Opportunities and challenges for utilization of nanoparticles as bioactive drug carriers for the targeted treatment of cancer“, Folia Medica, 2015; 50(1): pp. 34-39</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Hadžiabdić J.,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Elezović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Rahić O., Mujezin I., Vranić E. Stability of suspensions: theoretical and practical considerations before compounding. International Journal of Pharmaceutical Compounding, 2015; 19(1): 78-85</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Elezović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Kostić S., Hadžiabdić J., Rahić O., Vranić E., Vehabović M. Dependance of viscoelastic properties of two emulsion formulations on preparation process. Bulletin of the Chemists and Technologists of Bosnia and Herzegovina, 2015; 44: 23-28</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pageBreakBefore w:val="0"/>
        <w:rPr/>
      </w:pPr>
      <w:r w:rsidDel="00000000" w:rsidR="00000000" w:rsidRPr="00000000">
        <w:rPr>
          <w:rtl w:val="0"/>
        </w:rPr>
      </w:r>
    </w:p>
    <w:p w:rsidR="00000000" w:rsidDel="00000000" w:rsidP="00000000" w:rsidRDefault="00000000" w:rsidRPr="00000000" w14:paraId="0000004E">
      <w:pPr>
        <w:pageBreakBefore w:val="0"/>
        <w:rPr>
          <w:i w:val="1"/>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bs-Latn-B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7120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17B02"/>
    <w:pPr>
      <w:ind w:left="720"/>
      <w:contextualSpacing w:val="1"/>
    </w:pPr>
  </w:style>
  <w:style w:type="paragraph" w:styleId="Default" w:customStyle="1">
    <w:name w:val="Default"/>
    <w:rsid w:val="00D17B02"/>
    <w:pPr>
      <w:autoSpaceDE w:val="0"/>
      <w:autoSpaceDN w:val="0"/>
      <w:adjustRightInd w:val="0"/>
      <w:spacing w:after="0" w:line="240" w:lineRule="auto"/>
    </w:pPr>
    <w:rPr>
      <w:rFonts w:ascii="Times New Roman" w:cs="Times New Roman" w:hAnsi="Times New Roman"/>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Pzp9E3d3C9H5DmAhcO50aPmjLQ==">AMUW2mVhk5kL9naovMorLOZnrXdf88xC5PIfKfSJMcEEgy8PvXiBHID8OcxJnxb4XWQVnDUz7FN/F3skpKhZTwV+2Bk3CxT9Vyxou2XvY3ehX2Axmcn4jVly6+/EUqoNJZOXx7WfnMx5rAGT28a6MMkJ99Ci+94fPoRNod85TDMSPEdyGiBxyYfn4FfEIP14tzVIaUUMCH+q3lHqA6ROtKh1AC1nhV829g==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2019-12-20T11:53:00Z</dcterms:created>
  <dc:creator>PC</dc:creator>
</cp:coreProperties>
</file>