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0"/>
          <w:color w:val="00000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vertAlign w:val="baseline"/>
          <w:rtl w:val="0"/>
        </w:rPr>
        <w:t xml:space="preserve">NAME AND SURNAME: EDINA VRANIĆ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Work 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Full professor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2013-2019 Associate Professor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3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2007/2008-2013 Assistant Professor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3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2002-2007 Senior Teaching and Research Assistant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1994-2002 Teaching and Research Assistant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</w:t>
      </w:r>
    </w:p>
    <w:p w:rsidR="00000000" w:rsidDel="00000000" w:rsidP="00000000" w:rsidRDefault="00000000" w:rsidRPr="00000000" w14:paraId="0000000E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  PhD (Doctor of Pharmaceutical Sciences)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dissertation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“Application of inverse gas chromatography and flow –injection analysis in the preformulation studies“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University of Sarajevo,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2001  M.Sc.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(Master of Pharmaceutical Sciences)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Master thesis: “Determination of physicochemical properties of different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clindamycin phosphate samples“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University of Sarajevo,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 Specialisation (Specialisat in Pharmaceutical Technology)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Specialisation in Pharmaceutical Technology completed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Specialist thesis: “The effect of dissolution medium acidity varying on the release properties of diazepam from tablets“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University of Sarajevo, Faculty of Pharmacy/ Federal Ministry of Health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1993 M.Pharm. (Master of Pharmacy)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studies completed, University of Sarajevo,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Study abroad/ study visits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Institute of Chemical Technology and Engineering, Poznan University of Technology (PUT), Poznan, Poland (ERASMUS +)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Institute for Pharmaceutical Technology and Biopharmacy, University of Bonn, Bonn, Germany (DAAD)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2017 Institute for Pharmaceutical Technology and Biopharmacy, Heinrich Heine University Düsseldorf, Düsseldorf, Germany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 Institute for Pharmaceutical Technology and Biopharmacy, University of Graz, Graz, Austria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2015 Department of Pharmaceutical Technology, Faculty of Pharmacy, University of Ljubljana, Ljubljana, Slovenia (ERASMUS MUNDUS/BASILEUS IV)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2014  Institute of Chemistry, University of Silesia, Katowice, Poland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2007 Department of Pharmaceutical Technology, Faculty of Pharmacy, University of Ljubljana, Ljubljana, Slovenia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 Department of Pharmaceutical Technology, Faculty of Pharmacy, University of Ljubljana, Ljubljana, Slovenia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 Faculty of Chemical Sciences and Faculty of Pharmacy, University of Valencia, Valencia, Spain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 Department of Pharmaceutical Technology, Faculty of Pharmacy, University of Ljubljana, Ljubljana, Slovenia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 Institute for Pharmaceutical Technology and Biopharmacy, University of Vienna, Vienna, Austria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Academic/teaching work: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Integrated studies of the first (I) and second (II) cycle at the Faculty of Pharmacy, University of Sarajevo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DRUG FORMULATION I, DRUG FORMULATION II, SELECTED TOPICS IN DRUG FORMULATION - COSMETOLOGY, SELECTED TOPICS IN DRUG FORMULATION - CERTIFICATION STANDARDS IN PHARMACY, INDUSTRIAL PHARMACY I, INDUSTRIAL  PHARMACY II, SELECTED TOPICS IN INDUSTRIAL PHARMACY – STABILITY OF DRUGS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III (third) cycle/doctoral studies at the Faculty of Pharmacy, University of Sarajevo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PREFORMULATION STUDIES AND DEVELOPMENT OF PHARMACEUTICAL FORMS, NOVEL PHARMACEUTICAL FORMS, SELECTED TOPICS IN PHYSICAL PHARMACY, SELECTED TOPICS IN COSMETOLOGY</w:t>
      </w:r>
    </w:p>
    <w:p w:rsidR="00000000" w:rsidDel="00000000" w:rsidP="00000000" w:rsidRDefault="00000000" w:rsidRPr="00000000" w14:paraId="00000030">
      <w:pPr>
        <w:jc w:val="both"/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Specialisations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 and co-supervisor in the area of specialisation in Pharmaceutical Technology.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 academic positions and involvements: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2017-2020 President of the Committee for the Quality Assurance at the Faculty of Pharmacy, University of Sarajevo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2013-2017; 2017-2019: Head of Department of Pharmaceutical Technology, Faculty of Pharmacy, University of Sarajevo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2007-2009: Co-ordinator for International Relations at the Faculty of Pharmacy, University of Sarajevo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2019-2020.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title: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“Lipid nanoparticles as drug delivery systems for micro RNA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“, a research project between Austria &amp; Bosnia and Herzegovina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(financed by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OeAD - Austrian Agency for International Cooperation in Education and Research/  Österreichischer Austauschdienst),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2016-2017.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title: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“The influence of selected parameters on in vitro release of active substances“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project between Slovenia &amp; Bosnia and Herzegovina (financed by ARRS -Slovenian Research Agency, Ministry of Civil Affairs of Bosnia and Herzegovina/ Federal Ministry of Education and Science)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2014-2015.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title: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“Formulation of compression coated tablets containing poorly soluble drugs for chronotherapy“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project between Slovenia &amp; Bosnia and Herzegovina (financed by ARRS -Slovenian Research Agency, Ministry of Civil Affairs of Bosnia and Herzegovina/ Federal Ministry of Education and Science)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2012-2013.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title: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“Design of tablets with pulsatile release of a poorly soluble drug“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project between Slovenia &amp; Bosnia and Herzegovina (financed by ARRS-Slovenian Research Agency, Ministry of Civil Affairs of Bosnia and Herzegovina/ Federal Ministry of Education and Science)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Selected publications (up to 10):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Vojinović, T., Medarević, Đ., 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Vranić, E.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Potpara, Z., Krstić, M., Đuriš, J., Ibrić, S. Development of ternary solid dispersions with hydrophilic polymer and surface adsorbent for improving dissolution rate of carbamazepine.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Saudi Pharmaceutical Journal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2018; 26(5): 725-732</w:t>
      </w:r>
    </w:p>
    <w:p w:rsidR="00000000" w:rsidDel="00000000" w:rsidP="00000000" w:rsidRDefault="00000000" w:rsidRPr="00000000" w14:paraId="00000045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Grizić, D., Heimer, P., 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Vranić, E.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Imhof, D., Lamprecht, A. Propylene carbonate quantification by its derivative 3, 5-diacetyl-1,4-dihydro-2,6-lutidine.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Talanta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2016; 151: 75-82</w:t>
      </w:r>
    </w:p>
    <w:p w:rsidR="00000000" w:rsidDel="00000000" w:rsidP="00000000" w:rsidRDefault="00000000" w:rsidRPr="00000000" w14:paraId="00000047">
      <w:pPr>
        <w:spacing w:after="0" w:line="240" w:lineRule="auto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Sibinovska, N., Komoni, V., Ančevska Netkovska, K., 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Vranić, E.,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Simonoska Crcarevska, M., Glavaš Dodov, M. Novel approaches in treatment of acne vulgaris - patents related to micro/ nanoparticulated carrier systems.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Macedonian Pharmaceutical Bulletin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2016; 62: 3-16.</w:t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0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Vranić, E.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Rahić, O., Hadžiabdić, J., Elezović, A., Bošković, D. Opportunities and challenges for utilization of nanoparticles as bioactive drug carriers for the targeted treatment of cancer.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Folia Medica Facultatis Medicinae Universitatis Saraeviensis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 2015;  50 (1): 34-39</w:t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0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Vranić, E.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Grizić, D., Planinšek, O., Srčič, S., Bilensoy, E. Binary, ternary and microencapsulated celecoxib complexes with ß-cyclodextrin formulated via hydrophilic polymers.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Journal of Inclusion Phenomena and Macrocyclic Chemistry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2014;  80 (1-2): 139-146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b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b w:val="1"/>
          <w:color w:val="000000"/>
          <w:sz w:val="23"/>
          <w:szCs w:val="23"/>
          <w:vertAlign w:val="baseline"/>
          <w:rtl w:val="0"/>
        </w:rPr>
        <w:t xml:space="preserve"> University Textbooks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E., Hadžiabdić, J., Elezović, A., Rahić, O.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Farmaceutska tehnologija - problemski zadaci i rješenja- I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Univerzitetsko izd. Sarajevo: Farmaceutski fakultet, 2018. 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ISBN 978-9958-595-07-3. 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E., Hadžiabdić, J., ELEZOVIĆ, Alisa, RAHIĆ, Ognjenka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 Farmaceutska tehnologija - problemski zadaci i rješenja- II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Univerzitetsko izd. Sarajevo: Farmaceutski fakultet, 2018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ISBN 978-9958-595-08-0.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Vranić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, E., PLANINŠEK, Odon, SRČIČ, Stanko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. Farmaceutska tehnologija : predformulacijske studije - čvrsti farmaceutski oblici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. Univerzitetsko izd. Sarajevo: Farmaceutski fakultet, 2013.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ISBN 978-9958-595-04-2. 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021" w:left="1021" w:right="10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