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IME I PREZIME: EMINA MUFTIĆ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Radni staž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Asistent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bromatologiju i nutriciju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Obrazovanje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- danas: Student III ciklusa studija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Veterinarska medicina i javno zdravstvo</w:t>
        <w:br w:type="textWrapping"/>
        <w:t xml:space="preserve">Univerzitet u Sarajevu, Veterinarski fakultet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Specijalista iz oblasti Sigurnosti hrane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Završni rad: Antibiotska rezistencija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Escherichia coli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prenosive hranom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Univerzitetu u Sarajevu, Veterinarski fakultet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2019. Training and Research for Academic Newcomers (TRAIN)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cjeloživotnog učenja u oblasti pedagoškog obrazovanja i jačanja kompetencija akademskog osoblja Univerziteta u Sarajevu (Certifikat – dokaz o minimumu pedagoškog obrazovanja)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Dr.vet.med.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Veterinarski fakultet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Nastavni rad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Bromatologija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Aktivnosti na Fakultetu: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2019 - danas: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Član Komisije za javne nabavke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 web stranice i društvenih mreža fakulteta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Odabrane publikacije (do 10 odabranih publikacija):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hd w:fill="ffffff" w:val="clear"/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 Muftić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K Čaklovica, D Tahirović, A Muftić, F Čaklovica. Quality parameters of minced meat and raw formed products on Bosnian and Herzegovinian market. MESO 22 (2.), 142-148.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Aruković E.,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Fetahović D., Pehlivanović B., 2019. Impact of Antibiotic Misuse on Genetics Alterations of Bacteria. IFMBE Proceedings, Volume 73, Springer.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Pehlivanović B., Fetahović D.,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Aruković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Žiga N., Bečić F., 2019. Animal Models in Modern Biomedical Research. EJPMR, 6(7), 35-38.</w:t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