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b w:val="0"/>
          <w:vertAlign w:val="baseline"/>
        </w:rPr>
      </w:pPr>
      <w:r w:rsidDel="00000000" w:rsidR="00000000" w:rsidRPr="00000000">
        <w:rPr>
          <w:b w:val="1"/>
          <w:vertAlign w:val="baseline"/>
          <w:rtl w:val="0"/>
        </w:rPr>
        <w:t xml:space="preserve">IME I PREZIME: Jasmina Đeđibegović</w:t>
      </w:r>
      <w:r w:rsidDel="00000000" w:rsidR="00000000" w:rsidRPr="00000000">
        <w:rPr>
          <w:rtl w:val="0"/>
        </w:rPr>
      </w:r>
    </w:p>
    <w:p w:rsidR="00000000" w:rsidDel="00000000" w:rsidP="00000000" w:rsidRDefault="00000000" w:rsidRPr="00000000" w14:paraId="00000002">
      <w:pPr>
        <w:pageBreakBefore w:val="0"/>
        <w:widowControl w:val="0"/>
        <w:rPr>
          <w:b w:val="0"/>
          <w:vertAlign w:val="baseline"/>
        </w:rPr>
      </w:pPr>
      <w:r w:rsidDel="00000000" w:rsidR="00000000" w:rsidRPr="00000000">
        <w:rPr>
          <w:rtl w:val="0"/>
        </w:rPr>
      </w:r>
    </w:p>
    <w:p w:rsidR="00000000" w:rsidDel="00000000" w:rsidP="00000000" w:rsidRDefault="00000000" w:rsidRPr="00000000" w14:paraId="00000003">
      <w:pPr>
        <w:pageBreakBefore w:val="0"/>
        <w:widowControl w:val="0"/>
        <w:rPr>
          <w:b w:val="1"/>
          <w:vertAlign w:val="baseline"/>
        </w:rPr>
      </w:pPr>
      <w:r w:rsidDel="00000000" w:rsidR="00000000" w:rsidRPr="00000000">
        <w:rPr>
          <w:b w:val="1"/>
          <w:vertAlign w:val="baseline"/>
          <w:rtl w:val="0"/>
        </w:rPr>
        <w:t xml:space="preserve">Radni staž</w:t>
      </w:r>
    </w:p>
    <w:p w:rsidR="00000000" w:rsidDel="00000000" w:rsidP="00000000" w:rsidRDefault="00000000" w:rsidRPr="00000000" w14:paraId="00000004">
      <w:pPr>
        <w:widowControl w:val="0"/>
        <w:numPr>
          <w:ilvl w:val="0"/>
          <w:numId w:val="1"/>
        </w:numPr>
        <w:ind w:left="0" w:firstLine="0"/>
        <w:rPr/>
      </w:pPr>
      <w:r w:rsidDel="00000000" w:rsidR="00000000" w:rsidRPr="00000000">
        <w:rPr>
          <w:rtl w:val="0"/>
        </w:rPr>
        <w:t xml:space="preserve">2021.- Redovni profesor</w:t>
      </w:r>
    </w:p>
    <w:p w:rsidR="00000000" w:rsidDel="00000000" w:rsidP="00000000" w:rsidRDefault="00000000" w:rsidRPr="00000000" w14:paraId="00000005">
      <w:pPr>
        <w:widowControl w:val="0"/>
        <w:ind w:left="720" w:firstLine="0"/>
        <w:rPr>
          <w:b w:val="1"/>
        </w:rPr>
      </w:pPr>
      <w:r w:rsidDel="00000000" w:rsidR="00000000" w:rsidRPr="00000000">
        <w:rPr>
          <w:rtl w:val="0"/>
        </w:rPr>
        <w:t xml:space="preserve">Katedra za bromatologiju i nutriciju</w:t>
      </w:r>
      <w:r w:rsidDel="00000000" w:rsidR="00000000" w:rsidRPr="00000000">
        <w:rPr>
          <w:rtl w:val="0"/>
        </w:rPr>
      </w:r>
    </w:p>
    <w:p w:rsidR="00000000" w:rsidDel="00000000" w:rsidP="00000000" w:rsidRDefault="00000000" w:rsidRPr="00000000" w14:paraId="00000006">
      <w:pPr>
        <w:pageBreakBefore w:val="0"/>
        <w:widowControl w:val="0"/>
        <w:numPr>
          <w:ilvl w:val="0"/>
          <w:numId w:val="1"/>
        </w:numPr>
        <w:ind w:left="720" w:hanging="360"/>
        <w:rPr/>
      </w:pPr>
      <w:r w:rsidDel="00000000" w:rsidR="00000000" w:rsidRPr="00000000">
        <w:rPr>
          <w:vertAlign w:val="baseline"/>
          <w:rtl w:val="0"/>
        </w:rPr>
        <w:t xml:space="preserve">2017.- Vanredni profesor</w:t>
      </w:r>
    </w:p>
    <w:p w:rsidR="00000000" w:rsidDel="00000000" w:rsidP="00000000" w:rsidRDefault="00000000" w:rsidRPr="00000000" w14:paraId="00000007">
      <w:pPr>
        <w:pageBreakBefore w:val="0"/>
        <w:widowControl w:val="0"/>
        <w:ind w:left="720" w:firstLine="0"/>
        <w:rPr>
          <w:vertAlign w:val="baseline"/>
        </w:rPr>
      </w:pPr>
      <w:r w:rsidDel="00000000" w:rsidR="00000000" w:rsidRPr="00000000">
        <w:rPr>
          <w:vertAlign w:val="baseline"/>
          <w:rtl w:val="0"/>
        </w:rPr>
        <w:t xml:space="preserve">Katedra za Farmaceutsku analitiku</w:t>
      </w:r>
    </w:p>
    <w:p w:rsidR="00000000" w:rsidDel="00000000" w:rsidP="00000000" w:rsidRDefault="00000000" w:rsidRPr="00000000" w14:paraId="00000008">
      <w:pPr>
        <w:pageBreakBefore w:val="0"/>
        <w:widowControl w:val="0"/>
        <w:numPr>
          <w:ilvl w:val="0"/>
          <w:numId w:val="1"/>
        </w:numPr>
        <w:ind w:left="720" w:hanging="360"/>
        <w:rPr/>
      </w:pPr>
      <w:r w:rsidDel="00000000" w:rsidR="00000000" w:rsidRPr="00000000">
        <w:rPr>
          <w:vertAlign w:val="baseline"/>
          <w:rtl w:val="0"/>
        </w:rPr>
        <w:t xml:space="preserve">2012. docent</w:t>
      </w:r>
    </w:p>
    <w:p w:rsidR="00000000" w:rsidDel="00000000" w:rsidP="00000000" w:rsidRDefault="00000000" w:rsidRPr="00000000" w14:paraId="00000009">
      <w:pPr>
        <w:pageBreakBefore w:val="0"/>
        <w:widowControl w:val="0"/>
        <w:ind w:left="720" w:firstLine="0"/>
        <w:rPr>
          <w:vertAlign w:val="baseline"/>
        </w:rPr>
      </w:pPr>
      <w:r w:rsidDel="00000000" w:rsidR="00000000" w:rsidRPr="00000000">
        <w:rPr>
          <w:vertAlign w:val="baseline"/>
          <w:rtl w:val="0"/>
        </w:rPr>
        <w:t xml:space="preserve">Katedra za Farmaceutsku analitiku</w:t>
      </w:r>
    </w:p>
    <w:p w:rsidR="00000000" w:rsidDel="00000000" w:rsidP="00000000" w:rsidRDefault="00000000" w:rsidRPr="00000000" w14:paraId="0000000A">
      <w:pPr>
        <w:pageBreakBefore w:val="0"/>
        <w:widowControl w:val="0"/>
        <w:numPr>
          <w:ilvl w:val="0"/>
          <w:numId w:val="1"/>
        </w:numPr>
        <w:ind w:left="720" w:hanging="360"/>
        <w:rPr/>
      </w:pPr>
      <w:r w:rsidDel="00000000" w:rsidR="00000000" w:rsidRPr="00000000">
        <w:rPr>
          <w:vertAlign w:val="baseline"/>
          <w:rtl w:val="0"/>
        </w:rPr>
        <w:t xml:space="preserve">2008. Viši asistent</w:t>
      </w:r>
    </w:p>
    <w:p w:rsidR="00000000" w:rsidDel="00000000" w:rsidP="00000000" w:rsidRDefault="00000000" w:rsidRPr="00000000" w14:paraId="0000000B">
      <w:pPr>
        <w:pageBreakBefore w:val="0"/>
        <w:widowControl w:val="0"/>
        <w:ind w:left="720" w:firstLine="0"/>
        <w:rPr>
          <w:vertAlign w:val="baseline"/>
        </w:rPr>
      </w:pPr>
      <w:r w:rsidDel="00000000" w:rsidR="00000000" w:rsidRPr="00000000">
        <w:rPr>
          <w:vertAlign w:val="baseline"/>
          <w:rtl w:val="0"/>
        </w:rPr>
        <w:t xml:space="preserve">Katedra za Farmaceutsku analitiku</w:t>
      </w:r>
    </w:p>
    <w:p w:rsidR="00000000" w:rsidDel="00000000" w:rsidP="00000000" w:rsidRDefault="00000000" w:rsidRPr="00000000" w14:paraId="0000000C">
      <w:pPr>
        <w:pageBreakBefore w:val="0"/>
        <w:widowControl w:val="0"/>
        <w:numPr>
          <w:ilvl w:val="0"/>
          <w:numId w:val="1"/>
        </w:numPr>
        <w:ind w:left="720" w:hanging="360"/>
        <w:rPr/>
      </w:pPr>
      <w:r w:rsidDel="00000000" w:rsidR="00000000" w:rsidRPr="00000000">
        <w:rPr>
          <w:vertAlign w:val="baseline"/>
          <w:rtl w:val="0"/>
        </w:rPr>
        <w:t xml:space="preserve">2002. Asistent </w:t>
      </w:r>
    </w:p>
    <w:p w:rsidR="00000000" w:rsidDel="00000000" w:rsidP="00000000" w:rsidRDefault="00000000" w:rsidRPr="00000000" w14:paraId="0000000D">
      <w:pPr>
        <w:pageBreakBefore w:val="0"/>
        <w:widowControl w:val="0"/>
        <w:ind w:left="720" w:firstLine="0"/>
        <w:rPr>
          <w:vertAlign w:val="baseline"/>
        </w:rPr>
      </w:pPr>
      <w:r w:rsidDel="00000000" w:rsidR="00000000" w:rsidRPr="00000000">
        <w:rPr>
          <w:vertAlign w:val="baseline"/>
          <w:rtl w:val="0"/>
        </w:rPr>
        <w:t xml:space="preserve">Katedra za Farmaceutsku analitiku</w:t>
      </w:r>
    </w:p>
    <w:p w:rsidR="00000000" w:rsidDel="00000000" w:rsidP="00000000" w:rsidRDefault="00000000" w:rsidRPr="00000000" w14:paraId="0000000E">
      <w:pPr>
        <w:pageBreakBefore w:val="0"/>
        <w:widowControl w:val="0"/>
        <w:numPr>
          <w:ilvl w:val="0"/>
          <w:numId w:val="1"/>
        </w:numPr>
        <w:ind w:left="720" w:hanging="360"/>
        <w:rPr/>
      </w:pPr>
      <w:r w:rsidDel="00000000" w:rsidR="00000000" w:rsidRPr="00000000">
        <w:rPr>
          <w:vertAlign w:val="baseline"/>
          <w:rtl w:val="0"/>
        </w:rPr>
        <w:t xml:space="preserve">2002. Stručni saradnik za OTC proizvode </w:t>
      </w:r>
    </w:p>
    <w:p w:rsidR="00000000" w:rsidDel="00000000" w:rsidP="00000000" w:rsidRDefault="00000000" w:rsidRPr="00000000" w14:paraId="0000000F">
      <w:pPr>
        <w:pageBreakBefore w:val="0"/>
        <w:widowControl w:val="0"/>
        <w:ind w:left="720" w:firstLine="0"/>
        <w:rPr>
          <w:vertAlign w:val="baseline"/>
        </w:rPr>
      </w:pPr>
      <w:r w:rsidDel="00000000" w:rsidR="00000000" w:rsidRPr="00000000">
        <w:rPr>
          <w:vertAlign w:val="baseline"/>
          <w:rtl w:val="0"/>
        </w:rPr>
        <w:t xml:space="preserve">Lek d.d. Predstavništvo Sarajevo</w:t>
      </w:r>
    </w:p>
    <w:p w:rsidR="00000000" w:rsidDel="00000000" w:rsidP="00000000" w:rsidRDefault="00000000" w:rsidRPr="00000000" w14:paraId="00000010">
      <w:pPr>
        <w:pageBreakBefore w:val="0"/>
        <w:widowControl w:val="0"/>
        <w:rPr>
          <w:b w:val="0"/>
          <w:vertAlign w:val="baseline"/>
        </w:rPr>
      </w:pPr>
      <w:r w:rsidDel="00000000" w:rsidR="00000000" w:rsidRPr="00000000">
        <w:rPr>
          <w:b w:val="1"/>
          <w:vertAlign w:val="baseline"/>
          <w:rtl w:val="0"/>
        </w:rPr>
        <w:t xml:space="preserve">Obrazovanje </w:t>
      </w:r>
      <w:r w:rsidDel="00000000" w:rsidR="00000000" w:rsidRPr="00000000">
        <w:rPr>
          <w:rtl w:val="0"/>
        </w:rPr>
      </w:r>
    </w:p>
    <w:p w:rsidR="00000000" w:rsidDel="00000000" w:rsidP="00000000" w:rsidRDefault="00000000" w:rsidRPr="00000000" w14:paraId="00000011">
      <w:pPr>
        <w:pageBreakBefore w:val="0"/>
        <w:widowControl w:val="0"/>
        <w:numPr>
          <w:ilvl w:val="0"/>
          <w:numId w:val="1"/>
        </w:numPr>
        <w:ind w:left="720" w:hanging="360"/>
        <w:rPr>
          <w:i w:val="0"/>
        </w:rPr>
      </w:pPr>
      <w:r w:rsidDel="00000000" w:rsidR="00000000" w:rsidRPr="00000000">
        <w:rPr>
          <w:i w:val="1"/>
          <w:vertAlign w:val="baseline"/>
          <w:rtl w:val="0"/>
        </w:rPr>
        <w:t xml:space="preserve">2011. Dr. sc</w:t>
      </w:r>
      <w:r w:rsidDel="00000000" w:rsidR="00000000" w:rsidRPr="00000000">
        <w:rPr>
          <w:rtl w:val="0"/>
        </w:rPr>
      </w:r>
    </w:p>
    <w:p w:rsidR="00000000" w:rsidDel="00000000" w:rsidP="00000000" w:rsidRDefault="00000000" w:rsidRPr="00000000" w14:paraId="00000012">
      <w:pPr>
        <w:pageBreakBefore w:val="0"/>
        <w:widowControl w:val="0"/>
        <w:ind w:left="720" w:firstLine="0"/>
        <w:rPr>
          <w:i w:val="0"/>
          <w:sz w:val="23"/>
          <w:szCs w:val="23"/>
          <w:vertAlign w:val="baseline"/>
        </w:rPr>
      </w:pPr>
      <w:r w:rsidDel="00000000" w:rsidR="00000000" w:rsidRPr="00000000">
        <w:rPr>
          <w:i w:val="1"/>
          <w:vertAlign w:val="baseline"/>
          <w:rtl w:val="0"/>
        </w:rPr>
        <w:t xml:space="preserve">Doktorska disertacija : </w:t>
      </w:r>
      <w:r w:rsidDel="00000000" w:rsidR="00000000" w:rsidRPr="00000000">
        <w:rPr>
          <w:i w:val="1"/>
          <w:sz w:val="23"/>
          <w:szCs w:val="23"/>
          <w:vertAlign w:val="baseline"/>
          <w:rtl w:val="0"/>
        </w:rPr>
        <w:t xml:space="preserve">Sadržaj postojanih organskih polutanata u vodotokovima kao indikator rizika od toksičnog i genotoksičnog djelovanja</w:t>
      </w:r>
      <w:r w:rsidDel="00000000" w:rsidR="00000000" w:rsidRPr="00000000">
        <w:rPr>
          <w:rtl w:val="0"/>
        </w:rPr>
      </w:r>
    </w:p>
    <w:p w:rsidR="00000000" w:rsidDel="00000000" w:rsidP="00000000" w:rsidRDefault="00000000" w:rsidRPr="00000000" w14:paraId="00000013">
      <w:pPr>
        <w:pageBreakBefore w:val="0"/>
        <w:widowControl w:val="0"/>
        <w:ind w:left="720" w:firstLine="0"/>
        <w:rPr>
          <w:i w:val="0"/>
          <w:sz w:val="23"/>
          <w:szCs w:val="23"/>
          <w:vertAlign w:val="baseline"/>
        </w:rPr>
      </w:pPr>
      <w:r w:rsidDel="00000000" w:rsidR="00000000" w:rsidRPr="00000000">
        <w:rPr>
          <w:i w:val="1"/>
          <w:sz w:val="23"/>
          <w:szCs w:val="23"/>
          <w:vertAlign w:val="baseline"/>
          <w:rtl w:val="0"/>
        </w:rPr>
        <w:t xml:space="preserve">Univerzitet u Sarajevu, Farmaceutski fakultet</w:t>
      </w:r>
      <w:r w:rsidDel="00000000" w:rsidR="00000000" w:rsidRPr="00000000">
        <w:rPr>
          <w:rtl w:val="0"/>
        </w:rPr>
      </w:r>
    </w:p>
    <w:p w:rsidR="00000000" w:rsidDel="00000000" w:rsidP="00000000" w:rsidRDefault="00000000" w:rsidRPr="00000000" w14:paraId="00000014">
      <w:pPr>
        <w:pageBreakBefore w:val="0"/>
        <w:widowControl w:val="0"/>
        <w:ind w:left="720" w:firstLine="0"/>
        <w:rPr>
          <w:i w:val="0"/>
          <w:sz w:val="23"/>
          <w:szCs w:val="23"/>
          <w:vertAlign w:val="baseline"/>
        </w:rPr>
      </w:pPr>
      <w:r w:rsidDel="00000000" w:rsidR="00000000" w:rsidRPr="00000000">
        <w:rPr>
          <w:rtl w:val="0"/>
        </w:rPr>
      </w:r>
    </w:p>
    <w:p w:rsidR="00000000" w:rsidDel="00000000" w:rsidP="00000000" w:rsidRDefault="00000000" w:rsidRPr="00000000" w14:paraId="00000015">
      <w:pPr>
        <w:pageBreakBefore w:val="0"/>
        <w:widowControl w:val="0"/>
        <w:numPr>
          <w:ilvl w:val="0"/>
          <w:numId w:val="1"/>
        </w:numPr>
        <w:ind w:left="720" w:hanging="360"/>
        <w:rPr>
          <w:i w:val="0"/>
          <w:sz w:val="23"/>
          <w:szCs w:val="23"/>
        </w:rPr>
      </w:pPr>
      <w:r w:rsidDel="00000000" w:rsidR="00000000" w:rsidRPr="00000000">
        <w:rPr>
          <w:vertAlign w:val="baseline"/>
          <w:rtl w:val="0"/>
        </w:rPr>
        <w:t xml:space="preserve">2008. Spec.</w:t>
      </w:r>
      <w:r w:rsidDel="00000000" w:rsidR="00000000" w:rsidRPr="00000000">
        <w:rPr>
          <w:rtl w:val="0"/>
        </w:rPr>
      </w:r>
    </w:p>
    <w:p w:rsidR="00000000" w:rsidDel="00000000" w:rsidP="00000000" w:rsidRDefault="00000000" w:rsidRPr="00000000" w14:paraId="00000016">
      <w:pPr>
        <w:pageBreakBefore w:val="0"/>
        <w:widowControl w:val="0"/>
        <w:ind w:left="720" w:firstLine="0"/>
        <w:rPr>
          <w:vertAlign w:val="baseline"/>
        </w:rPr>
      </w:pPr>
      <w:r w:rsidDel="00000000" w:rsidR="00000000" w:rsidRPr="00000000">
        <w:rPr>
          <w:vertAlign w:val="baseline"/>
          <w:rtl w:val="0"/>
        </w:rPr>
        <w:t xml:space="preserve">Specijalistički ispit iz Sanitarne hemije</w:t>
      </w:r>
    </w:p>
    <w:p w:rsidR="00000000" w:rsidDel="00000000" w:rsidP="00000000" w:rsidRDefault="00000000" w:rsidRPr="00000000" w14:paraId="00000017">
      <w:pPr>
        <w:pageBreakBefore w:val="0"/>
        <w:widowControl w:val="0"/>
        <w:ind w:left="720" w:firstLine="0"/>
        <w:rPr>
          <w:i w:val="0"/>
          <w:sz w:val="23"/>
          <w:szCs w:val="23"/>
          <w:vertAlign w:val="baseline"/>
        </w:rPr>
      </w:pPr>
      <w:r w:rsidDel="00000000" w:rsidR="00000000" w:rsidRPr="00000000">
        <w:rPr>
          <w:vertAlign w:val="baseline"/>
          <w:rtl w:val="0"/>
        </w:rPr>
        <w:t xml:space="preserve">Federalno ministarstvo zdravstva, BiH</w:t>
      </w:r>
      <w:r w:rsidDel="00000000" w:rsidR="00000000" w:rsidRPr="00000000">
        <w:rPr>
          <w:rtl w:val="0"/>
        </w:rPr>
      </w:r>
    </w:p>
    <w:p w:rsidR="00000000" w:rsidDel="00000000" w:rsidP="00000000" w:rsidRDefault="00000000" w:rsidRPr="00000000" w14:paraId="00000018">
      <w:pPr>
        <w:pageBreakBefore w:val="0"/>
        <w:widowControl w:val="0"/>
        <w:ind w:left="720" w:firstLine="0"/>
        <w:rPr>
          <w:i w:val="0"/>
          <w:sz w:val="23"/>
          <w:szCs w:val="23"/>
          <w:vertAlign w:val="baseline"/>
        </w:rPr>
      </w:pPr>
      <w:r w:rsidDel="00000000" w:rsidR="00000000" w:rsidRPr="00000000">
        <w:rPr>
          <w:rtl w:val="0"/>
        </w:rPr>
      </w:r>
    </w:p>
    <w:p w:rsidR="00000000" w:rsidDel="00000000" w:rsidP="00000000" w:rsidRDefault="00000000" w:rsidRPr="00000000" w14:paraId="00000019">
      <w:pPr>
        <w:pageBreakBefore w:val="0"/>
        <w:widowControl w:val="0"/>
        <w:numPr>
          <w:ilvl w:val="0"/>
          <w:numId w:val="1"/>
        </w:numPr>
        <w:ind w:left="720" w:hanging="360"/>
        <w:rPr>
          <w:i w:val="0"/>
          <w:sz w:val="23"/>
          <w:szCs w:val="23"/>
        </w:rPr>
      </w:pPr>
      <w:r w:rsidDel="00000000" w:rsidR="00000000" w:rsidRPr="00000000">
        <w:rPr>
          <w:i w:val="1"/>
          <w:sz w:val="23"/>
          <w:szCs w:val="23"/>
          <w:vertAlign w:val="baseline"/>
          <w:rtl w:val="0"/>
        </w:rPr>
        <w:t xml:space="preserve">2007. Mr sc</w:t>
      </w:r>
      <w:r w:rsidDel="00000000" w:rsidR="00000000" w:rsidRPr="00000000">
        <w:rPr>
          <w:rtl w:val="0"/>
        </w:rPr>
      </w:r>
    </w:p>
    <w:p w:rsidR="00000000" w:rsidDel="00000000" w:rsidP="00000000" w:rsidRDefault="00000000" w:rsidRPr="00000000" w14:paraId="0000001A">
      <w:pPr>
        <w:pageBreakBefore w:val="0"/>
        <w:widowControl w:val="0"/>
        <w:ind w:left="720" w:firstLine="0"/>
        <w:rPr>
          <w:i w:val="0"/>
          <w:sz w:val="23"/>
          <w:szCs w:val="23"/>
          <w:vertAlign w:val="baseline"/>
        </w:rPr>
      </w:pPr>
      <w:r w:rsidDel="00000000" w:rsidR="00000000" w:rsidRPr="00000000">
        <w:rPr>
          <w:i w:val="1"/>
          <w:sz w:val="23"/>
          <w:szCs w:val="23"/>
          <w:vertAlign w:val="baseline"/>
          <w:rtl w:val="0"/>
        </w:rPr>
        <w:t xml:space="preserve">Magistarska teza: Određivanje koncentracije teških metala u vodi i tkivu riba iz Neretve</w:t>
      </w:r>
      <w:r w:rsidDel="00000000" w:rsidR="00000000" w:rsidRPr="00000000">
        <w:rPr>
          <w:rtl w:val="0"/>
        </w:rPr>
      </w:r>
    </w:p>
    <w:p w:rsidR="00000000" w:rsidDel="00000000" w:rsidP="00000000" w:rsidRDefault="00000000" w:rsidRPr="00000000" w14:paraId="0000001B">
      <w:pPr>
        <w:pageBreakBefore w:val="0"/>
        <w:widowControl w:val="0"/>
        <w:ind w:left="720" w:firstLine="0"/>
        <w:rPr>
          <w:i w:val="0"/>
          <w:sz w:val="23"/>
          <w:szCs w:val="23"/>
          <w:vertAlign w:val="baseline"/>
        </w:rPr>
      </w:pPr>
      <w:r w:rsidDel="00000000" w:rsidR="00000000" w:rsidRPr="00000000">
        <w:rPr>
          <w:i w:val="1"/>
          <w:sz w:val="23"/>
          <w:szCs w:val="23"/>
          <w:vertAlign w:val="baseline"/>
          <w:rtl w:val="0"/>
        </w:rPr>
        <w:t xml:space="preserve">Univerzitetu u Sarajevu, Farmaceutski fakultet</w:t>
      </w:r>
      <w:r w:rsidDel="00000000" w:rsidR="00000000" w:rsidRPr="00000000">
        <w:rPr>
          <w:rtl w:val="0"/>
        </w:rPr>
      </w:r>
    </w:p>
    <w:p w:rsidR="00000000" w:rsidDel="00000000" w:rsidP="00000000" w:rsidRDefault="00000000" w:rsidRPr="00000000" w14:paraId="0000001C">
      <w:pPr>
        <w:pageBreakBefore w:val="0"/>
        <w:widowControl w:val="0"/>
        <w:numPr>
          <w:ilvl w:val="0"/>
          <w:numId w:val="1"/>
        </w:numPr>
        <w:ind w:left="720" w:hanging="360"/>
        <w:rPr>
          <w:i w:val="0"/>
          <w:sz w:val="23"/>
          <w:szCs w:val="23"/>
        </w:rPr>
      </w:pPr>
      <w:r w:rsidDel="00000000" w:rsidR="00000000" w:rsidRPr="00000000">
        <w:rPr>
          <w:i w:val="1"/>
          <w:sz w:val="23"/>
          <w:szCs w:val="23"/>
          <w:vertAlign w:val="baseline"/>
          <w:rtl w:val="0"/>
        </w:rPr>
        <w:t xml:space="preserve">2007. </w:t>
      </w:r>
      <w:r w:rsidDel="00000000" w:rsidR="00000000" w:rsidRPr="00000000">
        <w:rPr>
          <w:sz w:val="23"/>
          <w:szCs w:val="23"/>
          <w:vertAlign w:val="baseline"/>
          <w:rtl w:val="0"/>
        </w:rPr>
        <w:t xml:space="preserve">HACCP menadžer</w:t>
      </w:r>
      <w:r w:rsidDel="00000000" w:rsidR="00000000" w:rsidRPr="00000000">
        <w:rPr>
          <w:rtl w:val="0"/>
        </w:rPr>
      </w:r>
    </w:p>
    <w:p w:rsidR="00000000" w:rsidDel="00000000" w:rsidP="00000000" w:rsidRDefault="00000000" w:rsidRPr="00000000" w14:paraId="0000001D">
      <w:pPr>
        <w:pageBreakBefore w:val="0"/>
        <w:widowControl w:val="0"/>
        <w:ind w:left="720" w:firstLine="0"/>
        <w:rPr>
          <w:i w:val="0"/>
          <w:sz w:val="23"/>
          <w:szCs w:val="23"/>
          <w:vertAlign w:val="baseline"/>
        </w:rPr>
      </w:pPr>
      <w:r w:rsidDel="00000000" w:rsidR="00000000" w:rsidRPr="00000000">
        <w:rPr>
          <w:i w:val="1"/>
          <w:sz w:val="23"/>
          <w:szCs w:val="23"/>
          <w:vertAlign w:val="baseline"/>
          <w:rtl w:val="0"/>
        </w:rPr>
        <w:t xml:space="preserve">Bio-Base/TÜV Adria</w:t>
      </w:r>
      <w:r w:rsidDel="00000000" w:rsidR="00000000" w:rsidRPr="00000000">
        <w:rPr>
          <w:rtl w:val="0"/>
        </w:rPr>
      </w:r>
    </w:p>
    <w:p w:rsidR="00000000" w:rsidDel="00000000" w:rsidP="00000000" w:rsidRDefault="00000000" w:rsidRPr="00000000" w14:paraId="0000001E">
      <w:pPr>
        <w:pageBreakBefore w:val="0"/>
        <w:widowControl w:val="0"/>
        <w:ind w:left="720" w:firstLine="0"/>
        <w:rPr>
          <w:i w:val="0"/>
          <w:sz w:val="23"/>
          <w:szCs w:val="23"/>
          <w:vertAlign w:val="baseline"/>
        </w:rPr>
      </w:pPr>
      <w:r w:rsidDel="00000000" w:rsidR="00000000" w:rsidRPr="00000000">
        <w:rPr>
          <w:rtl w:val="0"/>
        </w:rPr>
      </w:r>
    </w:p>
    <w:p w:rsidR="00000000" w:rsidDel="00000000" w:rsidP="00000000" w:rsidRDefault="00000000" w:rsidRPr="00000000" w14:paraId="0000001F">
      <w:pPr>
        <w:pageBreakBefore w:val="0"/>
        <w:widowControl w:val="0"/>
        <w:numPr>
          <w:ilvl w:val="0"/>
          <w:numId w:val="1"/>
        </w:numPr>
        <w:ind w:left="720" w:hanging="360"/>
        <w:rPr>
          <w:i w:val="0"/>
          <w:sz w:val="23"/>
          <w:szCs w:val="23"/>
        </w:rPr>
      </w:pPr>
      <w:r w:rsidDel="00000000" w:rsidR="00000000" w:rsidRPr="00000000">
        <w:rPr>
          <w:i w:val="1"/>
          <w:sz w:val="23"/>
          <w:szCs w:val="23"/>
          <w:vertAlign w:val="baseline"/>
          <w:rtl w:val="0"/>
        </w:rPr>
        <w:t xml:space="preserve">2001. Mr.ph. </w:t>
      </w:r>
      <w:r w:rsidDel="00000000" w:rsidR="00000000" w:rsidRPr="00000000">
        <w:rPr>
          <w:rtl w:val="0"/>
        </w:rPr>
      </w:r>
    </w:p>
    <w:p w:rsidR="00000000" w:rsidDel="00000000" w:rsidP="00000000" w:rsidRDefault="00000000" w:rsidRPr="00000000" w14:paraId="00000020">
      <w:pPr>
        <w:pageBreakBefore w:val="0"/>
        <w:widowControl w:val="0"/>
        <w:ind w:left="720" w:firstLine="0"/>
        <w:rPr>
          <w:i w:val="0"/>
          <w:sz w:val="23"/>
          <w:szCs w:val="23"/>
          <w:vertAlign w:val="baseline"/>
        </w:rPr>
      </w:pPr>
      <w:r w:rsidDel="00000000" w:rsidR="00000000" w:rsidRPr="00000000">
        <w:rPr>
          <w:i w:val="1"/>
          <w:sz w:val="23"/>
          <w:szCs w:val="23"/>
          <w:vertAlign w:val="baseline"/>
          <w:rtl w:val="0"/>
        </w:rPr>
        <w:t xml:space="preserve">Diplomski rad: Testiranje statističkih hipoteza u farmaceutskoj praksi</w:t>
      </w:r>
      <w:r w:rsidDel="00000000" w:rsidR="00000000" w:rsidRPr="00000000">
        <w:rPr>
          <w:rtl w:val="0"/>
        </w:rPr>
      </w:r>
    </w:p>
    <w:p w:rsidR="00000000" w:rsidDel="00000000" w:rsidP="00000000" w:rsidRDefault="00000000" w:rsidRPr="00000000" w14:paraId="00000021">
      <w:pPr>
        <w:pageBreakBefore w:val="0"/>
        <w:widowControl w:val="0"/>
        <w:ind w:left="720" w:firstLine="0"/>
        <w:rPr>
          <w:i w:val="0"/>
          <w:sz w:val="23"/>
          <w:szCs w:val="23"/>
          <w:vertAlign w:val="baseline"/>
        </w:rPr>
      </w:pPr>
      <w:r w:rsidDel="00000000" w:rsidR="00000000" w:rsidRPr="00000000">
        <w:rPr>
          <w:i w:val="1"/>
          <w:sz w:val="23"/>
          <w:szCs w:val="23"/>
          <w:vertAlign w:val="baseline"/>
          <w:rtl w:val="0"/>
        </w:rPr>
        <w:t xml:space="preserve">Univerzitet u Sarajevu, Farmaceutski fakultet</w:t>
      </w:r>
      <w:r w:rsidDel="00000000" w:rsidR="00000000" w:rsidRPr="00000000">
        <w:rPr>
          <w:rtl w:val="0"/>
        </w:rPr>
      </w:r>
    </w:p>
    <w:p w:rsidR="00000000" w:rsidDel="00000000" w:rsidP="00000000" w:rsidRDefault="00000000" w:rsidRPr="00000000" w14:paraId="00000022">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023">
      <w:pPr>
        <w:pageBreakBefore w:val="0"/>
        <w:widowControl w:val="0"/>
        <w:rPr>
          <w:b w:val="0"/>
          <w:vertAlign w:val="baseline"/>
        </w:rPr>
      </w:pPr>
      <w:r w:rsidDel="00000000" w:rsidR="00000000" w:rsidRPr="00000000">
        <w:rPr>
          <w:b w:val="1"/>
          <w:vertAlign w:val="baseline"/>
          <w:rtl w:val="0"/>
        </w:rPr>
        <w:t xml:space="preserve">Studijski boravci u inostranstvu</w:t>
      </w:r>
      <w:r w:rsidDel="00000000" w:rsidR="00000000" w:rsidRPr="00000000">
        <w:rPr>
          <w:rtl w:val="0"/>
        </w:rPr>
      </w:r>
    </w:p>
    <w:p w:rsidR="00000000" w:rsidDel="00000000" w:rsidP="00000000" w:rsidRDefault="00000000" w:rsidRPr="00000000" w14:paraId="00000024">
      <w:pPr>
        <w:pageBreakBefore w:val="0"/>
        <w:widowControl w:val="0"/>
        <w:numPr>
          <w:ilvl w:val="0"/>
          <w:numId w:val="1"/>
        </w:numPr>
        <w:ind w:left="720" w:hanging="360"/>
        <w:rPr/>
      </w:pPr>
      <w:r w:rsidDel="00000000" w:rsidR="00000000" w:rsidRPr="00000000">
        <w:rPr>
          <w:vertAlign w:val="baseline"/>
          <w:rtl w:val="0"/>
        </w:rPr>
        <w:t xml:space="preserve">2017. Charles Univerzitet, Farmaceutski fakultet Hradec Kralove, Češka</w:t>
      </w:r>
    </w:p>
    <w:p w:rsidR="00000000" w:rsidDel="00000000" w:rsidP="00000000" w:rsidRDefault="00000000" w:rsidRPr="00000000" w14:paraId="00000025">
      <w:pPr>
        <w:pageBreakBefore w:val="0"/>
        <w:widowControl w:val="0"/>
        <w:numPr>
          <w:ilvl w:val="0"/>
          <w:numId w:val="1"/>
        </w:numPr>
        <w:ind w:left="720" w:hanging="360"/>
        <w:rPr/>
      </w:pPr>
      <w:r w:rsidDel="00000000" w:rsidR="00000000" w:rsidRPr="00000000">
        <w:rPr>
          <w:vertAlign w:val="baseline"/>
          <w:rtl w:val="0"/>
        </w:rPr>
        <w:t xml:space="preserve">2017. Tehnološki univerzitet u Brnu, Češka</w:t>
      </w:r>
    </w:p>
    <w:p w:rsidR="00000000" w:rsidDel="00000000" w:rsidP="00000000" w:rsidRDefault="00000000" w:rsidRPr="00000000" w14:paraId="00000026">
      <w:pPr>
        <w:pageBreakBefore w:val="0"/>
        <w:widowControl w:val="0"/>
        <w:numPr>
          <w:ilvl w:val="0"/>
          <w:numId w:val="1"/>
        </w:numPr>
        <w:ind w:left="720" w:hanging="360"/>
        <w:rPr/>
      </w:pPr>
      <w:r w:rsidDel="00000000" w:rsidR="00000000" w:rsidRPr="00000000">
        <w:rPr>
          <w:vertAlign w:val="baseline"/>
          <w:rtl w:val="0"/>
        </w:rPr>
        <w:t xml:space="preserve">2014. Norveški institut za istraživanje voda (NIVA), Oslo, Norveška</w:t>
      </w:r>
    </w:p>
    <w:p w:rsidR="00000000" w:rsidDel="00000000" w:rsidP="00000000" w:rsidRDefault="00000000" w:rsidRPr="00000000" w14:paraId="00000027">
      <w:pPr>
        <w:pageBreakBefore w:val="0"/>
        <w:widowControl w:val="0"/>
        <w:numPr>
          <w:ilvl w:val="0"/>
          <w:numId w:val="1"/>
        </w:numPr>
        <w:ind w:left="720" w:hanging="360"/>
        <w:rPr/>
      </w:pPr>
      <w:r w:rsidDel="00000000" w:rsidR="00000000" w:rsidRPr="00000000">
        <w:rPr>
          <w:vertAlign w:val="baseline"/>
          <w:rtl w:val="0"/>
        </w:rPr>
        <w:t xml:space="preserve">2008. Norveški institut za istraživanje voda (NIVA), Oslo, Norveška</w:t>
      </w:r>
    </w:p>
    <w:p w:rsidR="00000000" w:rsidDel="00000000" w:rsidP="00000000" w:rsidRDefault="00000000" w:rsidRPr="00000000" w14:paraId="00000028">
      <w:pPr>
        <w:pageBreakBefore w:val="0"/>
        <w:widowControl w:val="0"/>
        <w:numPr>
          <w:ilvl w:val="0"/>
          <w:numId w:val="1"/>
        </w:numPr>
        <w:ind w:left="720" w:hanging="360"/>
        <w:rPr/>
      </w:pPr>
      <w:r w:rsidDel="00000000" w:rsidR="00000000" w:rsidRPr="00000000">
        <w:rPr>
          <w:vertAlign w:val="baseline"/>
          <w:rtl w:val="0"/>
        </w:rPr>
        <w:t xml:space="preserve">2003-2004. Hemijski fakultet, Univerzitet u Oslu, Norveška</w:t>
      </w:r>
    </w:p>
    <w:p w:rsidR="00000000" w:rsidDel="00000000" w:rsidP="00000000" w:rsidRDefault="00000000" w:rsidRPr="00000000" w14:paraId="00000029">
      <w:pPr>
        <w:pageBreakBefore w:val="0"/>
        <w:widowControl w:val="0"/>
        <w:numPr>
          <w:ilvl w:val="0"/>
          <w:numId w:val="1"/>
        </w:numPr>
        <w:ind w:left="720" w:hanging="360"/>
        <w:rPr/>
      </w:pPr>
      <w:r w:rsidDel="00000000" w:rsidR="00000000" w:rsidRPr="00000000">
        <w:rPr>
          <w:vertAlign w:val="baseline"/>
          <w:rtl w:val="0"/>
        </w:rPr>
        <w:t xml:space="preserve">2003. Fakultet za hemiju i hemijsku tehnologiju Ljubljana i Slovenačko-evropski istraživački centar za prirodne nauke (SENARC)-Workshop, Lipice, Slovenija</w:t>
      </w:r>
    </w:p>
    <w:p w:rsidR="00000000" w:rsidDel="00000000" w:rsidP="00000000" w:rsidRDefault="00000000" w:rsidRPr="00000000" w14:paraId="0000002A">
      <w:pPr>
        <w:pageBreakBefore w:val="0"/>
        <w:widowControl w:val="0"/>
        <w:rPr>
          <w:vertAlign w:val="baseline"/>
        </w:rPr>
      </w:pPr>
      <w:r w:rsidDel="00000000" w:rsidR="00000000" w:rsidRPr="00000000">
        <w:rPr>
          <w:rtl w:val="0"/>
        </w:rPr>
      </w:r>
    </w:p>
    <w:p w:rsidR="00000000" w:rsidDel="00000000" w:rsidP="00000000" w:rsidRDefault="00000000" w:rsidRPr="00000000" w14:paraId="0000002B">
      <w:pPr>
        <w:pageBreakBefore w:val="0"/>
        <w:widowControl w:val="0"/>
        <w:rPr>
          <w:b w:val="0"/>
          <w:vertAlign w:val="baseline"/>
        </w:rPr>
      </w:pPr>
      <w:r w:rsidDel="00000000" w:rsidR="00000000" w:rsidRPr="00000000">
        <w:rPr>
          <w:b w:val="1"/>
          <w:vertAlign w:val="baseline"/>
          <w:rtl w:val="0"/>
        </w:rPr>
        <w:t xml:space="preserve">Nastavni rad</w:t>
      </w:r>
      <w:r w:rsidDel="00000000" w:rsidR="00000000" w:rsidRPr="00000000">
        <w:rPr>
          <w:rtl w:val="0"/>
        </w:rPr>
      </w:r>
    </w:p>
    <w:p w:rsidR="00000000" w:rsidDel="00000000" w:rsidP="00000000" w:rsidRDefault="00000000" w:rsidRPr="00000000" w14:paraId="0000002C">
      <w:pPr>
        <w:pageBreakBefore w:val="0"/>
        <w:widowControl w:val="0"/>
        <w:rPr>
          <w:vertAlign w:val="baseline"/>
        </w:rPr>
      </w:pPr>
      <w:r w:rsidDel="00000000" w:rsidR="00000000" w:rsidRPr="00000000">
        <w:rPr>
          <w:i w:val="1"/>
          <w:vertAlign w:val="baseline"/>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2D">
      <w:pPr>
        <w:pageBreakBefore w:val="0"/>
        <w:widowControl w:val="0"/>
        <w:numPr>
          <w:ilvl w:val="0"/>
          <w:numId w:val="1"/>
        </w:numPr>
        <w:ind w:left="720" w:hanging="360"/>
        <w:rPr/>
      </w:pPr>
      <w:r w:rsidDel="00000000" w:rsidR="00000000" w:rsidRPr="00000000">
        <w:rPr>
          <w:i w:val="1"/>
          <w:vertAlign w:val="baseline"/>
          <w:rtl w:val="0"/>
        </w:rPr>
        <w:t xml:space="preserve">Predmeti</w:t>
      </w:r>
      <w:r w:rsidDel="00000000" w:rsidR="00000000" w:rsidRPr="00000000">
        <w:rPr>
          <w:vertAlign w:val="baseline"/>
          <w:rtl w:val="0"/>
        </w:rPr>
        <w:t xml:space="preserve">: Bromatologija; Odabrana poglavlja iz bromatologije – Funkcionalna hrana i dijetetski proizvodi (odgovorni nastavnik, 2012</w:t>
      </w:r>
      <w:r w:rsidDel="00000000" w:rsidR="00000000" w:rsidRPr="00000000">
        <w:rPr>
          <w:rtl w:val="0"/>
        </w:rPr>
        <w:t xml:space="preserve">.</w:t>
      </w:r>
      <w:r w:rsidDel="00000000" w:rsidR="00000000" w:rsidRPr="00000000">
        <w:rPr>
          <w:vertAlign w:val="baseline"/>
          <w:rtl w:val="0"/>
        </w:rPr>
        <w:t xml:space="preserve">)</w:t>
      </w:r>
    </w:p>
    <w:p w:rsidR="00000000" w:rsidDel="00000000" w:rsidP="00000000" w:rsidRDefault="00000000" w:rsidRPr="00000000" w14:paraId="0000002E">
      <w:pPr>
        <w:pageBreakBefore w:val="0"/>
        <w:widowControl w:val="0"/>
        <w:rPr>
          <w:vertAlign w:val="baseline"/>
        </w:rPr>
      </w:pPr>
      <w:r w:rsidDel="00000000" w:rsidR="00000000" w:rsidRPr="00000000">
        <w:rPr>
          <w:vertAlign w:val="baseline"/>
          <w:rtl w:val="0"/>
        </w:rPr>
        <w:t xml:space="preserve">III ciklus studija na Farmaceutskom fakultetu Univerziteta u Sarajevu</w:t>
      </w:r>
    </w:p>
    <w:p w:rsidR="00000000" w:rsidDel="00000000" w:rsidP="00000000" w:rsidRDefault="00000000" w:rsidRPr="00000000" w14:paraId="0000002F">
      <w:pPr>
        <w:pageBreakBefore w:val="0"/>
        <w:widowControl w:val="0"/>
        <w:numPr>
          <w:ilvl w:val="0"/>
          <w:numId w:val="1"/>
        </w:numPr>
        <w:ind w:left="720" w:hanging="360"/>
        <w:rPr/>
      </w:pPr>
      <w:r w:rsidDel="00000000" w:rsidR="00000000" w:rsidRPr="00000000">
        <w:rPr>
          <w:i w:val="1"/>
          <w:vertAlign w:val="baseline"/>
          <w:rtl w:val="0"/>
        </w:rPr>
        <w:t xml:space="preserve">Predmeti</w:t>
      </w:r>
      <w:r w:rsidDel="00000000" w:rsidR="00000000" w:rsidRPr="00000000">
        <w:rPr>
          <w:vertAlign w:val="baseline"/>
          <w:rtl w:val="0"/>
        </w:rPr>
        <w:t xml:space="preserve">: Dijetetika; Nutricionizam; Kvaliteta i sigurnost hrane (odgovorni nastavnik)</w:t>
      </w:r>
    </w:p>
    <w:p w:rsidR="00000000" w:rsidDel="00000000" w:rsidP="00000000" w:rsidRDefault="00000000" w:rsidRPr="00000000" w14:paraId="00000030">
      <w:pPr>
        <w:pageBreakBefore w:val="0"/>
        <w:widowControl w:val="0"/>
        <w:rPr/>
      </w:pPr>
      <w:r w:rsidDel="00000000" w:rsidR="00000000" w:rsidRPr="00000000">
        <w:rPr>
          <w:rtl w:val="0"/>
        </w:rPr>
        <w:t xml:space="preserve">Magistarski studij </w:t>
      </w:r>
      <w:r w:rsidDel="00000000" w:rsidR="00000000" w:rsidRPr="00000000">
        <w:rPr>
          <w:i w:val="1"/>
          <w:rtl w:val="0"/>
        </w:rPr>
        <w:t xml:space="preserve">Nutricionizam</w:t>
      </w:r>
      <w:r w:rsidDel="00000000" w:rsidR="00000000" w:rsidRPr="00000000">
        <w:rPr>
          <w:rtl w:val="0"/>
        </w:rPr>
        <w:t xml:space="preserve"> Centar za interdisciplinarne studije Univerziteta u Sarajevu</w:t>
      </w:r>
    </w:p>
    <w:p w:rsidR="00000000" w:rsidDel="00000000" w:rsidP="00000000" w:rsidRDefault="00000000" w:rsidRPr="00000000" w14:paraId="00000031">
      <w:pPr>
        <w:pageBreakBefore w:val="0"/>
        <w:widowControl w:val="0"/>
        <w:numPr>
          <w:ilvl w:val="0"/>
          <w:numId w:val="1"/>
        </w:numPr>
        <w:ind w:left="720" w:hanging="360"/>
        <w:rPr/>
      </w:pPr>
      <w:r w:rsidDel="00000000" w:rsidR="00000000" w:rsidRPr="00000000">
        <w:rPr>
          <w:i w:val="1"/>
          <w:rtl w:val="0"/>
        </w:rPr>
        <w:t xml:space="preserve">Predmeti</w:t>
      </w:r>
      <w:r w:rsidDel="00000000" w:rsidR="00000000" w:rsidRPr="00000000">
        <w:rPr>
          <w:rtl w:val="0"/>
        </w:rPr>
        <w:t xml:space="preserve">: Dijetetika; Kontaminanti i rezidue u hrani (odgovorni nastavnik)</w:t>
      </w:r>
    </w:p>
    <w:p w:rsidR="00000000" w:rsidDel="00000000" w:rsidP="00000000" w:rsidRDefault="00000000" w:rsidRPr="00000000" w14:paraId="00000032">
      <w:pPr>
        <w:pageBreakBefore w:val="0"/>
        <w:widowControl w:val="0"/>
        <w:rPr>
          <w:i w:val="0"/>
          <w:vertAlign w:val="baseline"/>
        </w:rPr>
      </w:pPr>
      <w:r w:rsidDel="00000000" w:rsidR="00000000" w:rsidRPr="00000000">
        <w:rPr>
          <w:rtl w:val="0"/>
        </w:rPr>
      </w:r>
    </w:p>
    <w:p w:rsidR="00000000" w:rsidDel="00000000" w:rsidP="00000000" w:rsidRDefault="00000000" w:rsidRPr="00000000" w14:paraId="00000033">
      <w:pPr>
        <w:pageBreakBefore w:val="0"/>
        <w:widowControl w:val="0"/>
        <w:rPr>
          <w:vertAlign w:val="baseline"/>
        </w:rPr>
      </w:pPr>
      <w:r w:rsidDel="00000000" w:rsidR="00000000" w:rsidRPr="00000000">
        <w:rPr>
          <w:i w:val="1"/>
          <w:vertAlign w:val="baseline"/>
          <w:rtl w:val="0"/>
        </w:rPr>
        <w:t xml:space="preserve">Specijalizacije </w:t>
      </w:r>
      <w:r w:rsidDel="00000000" w:rsidR="00000000" w:rsidRPr="00000000">
        <w:rPr>
          <w:rtl w:val="0"/>
        </w:rPr>
      </w:r>
    </w:p>
    <w:p w:rsidR="00000000" w:rsidDel="00000000" w:rsidP="00000000" w:rsidRDefault="00000000" w:rsidRPr="00000000" w14:paraId="00000034">
      <w:pPr>
        <w:pageBreakBefore w:val="0"/>
        <w:widowControl w:val="0"/>
        <w:numPr>
          <w:ilvl w:val="0"/>
          <w:numId w:val="1"/>
        </w:numPr>
        <w:ind w:left="720" w:hanging="360"/>
        <w:rPr/>
      </w:pPr>
      <w:r w:rsidDel="00000000" w:rsidR="00000000" w:rsidRPr="00000000">
        <w:rPr>
          <w:vertAlign w:val="baseline"/>
          <w:rtl w:val="0"/>
        </w:rPr>
        <w:t xml:space="preserve">Mentor </w:t>
      </w:r>
      <w:r w:rsidDel="00000000" w:rsidR="00000000" w:rsidRPr="00000000">
        <w:rPr>
          <w:rtl w:val="0"/>
        </w:rPr>
        <w:t xml:space="preserve">i voditelj </w:t>
      </w:r>
      <w:r w:rsidDel="00000000" w:rsidR="00000000" w:rsidRPr="00000000">
        <w:rPr>
          <w:vertAlign w:val="baseline"/>
          <w:rtl w:val="0"/>
        </w:rPr>
        <w:t xml:space="preserve"> specijalističkih radova iz Dijetetike i nutricije (</w:t>
      </w:r>
      <w:r w:rsidDel="00000000" w:rsidR="00000000" w:rsidRPr="00000000">
        <w:rPr>
          <w:rtl w:val="0"/>
        </w:rPr>
        <w:t xml:space="preserve">do sada 4 uspješno odbranjena specijalistička rada)</w:t>
      </w:r>
      <w:r w:rsidDel="00000000" w:rsidR="00000000" w:rsidRPr="00000000">
        <w:rPr>
          <w:vertAlign w:val="baseline"/>
          <w:rtl w:val="0"/>
        </w:rPr>
        <w:t xml:space="preserve">. </w:t>
      </w:r>
    </w:p>
    <w:p w:rsidR="00000000" w:rsidDel="00000000" w:rsidP="00000000" w:rsidRDefault="00000000" w:rsidRPr="00000000" w14:paraId="00000035">
      <w:pPr>
        <w:pageBreakBefore w:val="0"/>
        <w:widowControl w:val="0"/>
        <w:numPr>
          <w:ilvl w:val="0"/>
          <w:numId w:val="1"/>
        </w:numPr>
        <w:ind w:left="720" w:hanging="360"/>
        <w:rPr>
          <w:u w:val="none"/>
        </w:rPr>
      </w:pPr>
      <w:r w:rsidDel="00000000" w:rsidR="00000000" w:rsidRPr="00000000">
        <w:rPr>
          <w:rtl w:val="0"/>
        </w:rPr>
        <w:t xml:space="preserve">Mentor jedne uspješno odbranjene doktorske disertacije (Farmaceutski fakultet Univerziteta u Sarajevu), član komisije u 3 uspješno odbranjene doktorske disertacije (Farmaceutski fakultet Univerziteta u Sarajevu), komentor jedne doktorske disertacije - u toku (Veterinarski fakultet Univerziteta u Sarajevu)</w:t>
      </w:r>
      <w:r w:rsidDel="00000000" w:rsidR="00000000" w:rsidRPr="00000000">
        <w:rPr>
          <w:rtl w:val="0"/>
        </w:rPr>
      </w:r>
    </w:p>
    <w:p w:rsidR="00000000" w:rsidDel="00000000" w:rsidP="00000000" w:rsidRDefault="00000000" w:rsidRPr="00000000" w14:paraId="00000036">
      <w:pPr>
        <w:pageBreakBefore w:val="0"/>
        <w:widowControl w:val="0"/>
        <w:numPr>
          <w:ilvl w:val="0"/>
          <w:numId w:val="1"/>
        </w:numPr>
        <w:ind w:left="720" w:hanging="360"/>
        <w:rPr/>
      </w:pPr>
      <w:r w:rsidDel="00000000" w:rsidR="00000000" w:rsidRPr="00000000">
        <w:rPr>
          <w:rtl w:val="0"/>
        </w:rPr>
        <w:t xml:space="preserve">Član komisije jednog uspješno odbranjenog specijalističkog rada iz oblasti Toksikološka hemija</w:t>
      </w:r>
    </w:p>
    <w:p w:rsidR="00000000" w:rsidDel="00000000" w:rsidP="00000000" w:rsidRDefault="00000000" w:rsidRPr="00000000" w14:paraId="00000037">
      <w:pPr>
        <w:pageBreakBefore w:val="0"/>
        <w:widowControl w:val="0"/>
        <w:spacing w:after="240" w:before="240" w:line="276" w:lineRule="auto"/>
        <w:jc w:val="both"/>
        <w:rPr/>
      </w:pPr>
      <w:r w:rsidDel="00000000" w:rsidR="00000000" w:rsidRPr="00000000">
        <w:rPr>
          <w:rtl w:val="0"/>
        </w:rPr>
        <w:t xml:space="preserve">Učestvovala je u izradi ECTS- informacijskog paketa 2015 za integrisani studij I i II ciklusa studija Farmaceutskog fakulteta Univerziteta u Sarajevu, elaborata master studijskog programa </w:t>
      </w:r>
      <w:r w:rsidDel="00000000" w:rsidR="00000000" w:rsidRPr="00000000">
        <w:rPr>
          <w:i w:val="1"/>
          <w:rtl w:val="0"/>
        </w:rPr>
        <w:t xml:space="preserve">Nutricionizam</w:t>
      </w:r>
      <w:r w:rsidDel="00000000" w:rsidR="00000000" w:rsidRPr="00000000">
        <w:rPr>
          <w:rtl w:val="0"/>
        </w:rPr>
        <w:t xml:space="preserve"> Centra za interdisciplinarne studije Univerziteta u Sarajevu (izrada silabusa za predmete Dijetetika i Rezidue i kontaminanti u hrani), elaborata doktorskog studija Farmaceutskog fakulteta Univerziteta u Sarajevu (izrada silabusa za predmete Dijetetika i Nutricionizam). </w:t>
      </w:r>
    </w:p>
    <w:p w:rsidR="00000000" w:rsidDel="00000000" w:rsidP="00000000" w:rsidRDefault="00000000" w:rsidRPr="00000000" w14:paraId="00000038">
      <w:pPr>
        <w:pageBreakBefore w:val="0"/>
        <w:widowControl w:val="0"/>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pageBreakBefore w:val="0"/>
        <w:widowControl w:val="0"/>
        <w:spacing w:after="0" w:line="240" w:lineRule="auto"/>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Aktivnosti na Fakultetu: </w:t>
      </w:r>
      <w:r w:rsidDel="00000000" w:rsidR="00000000" w:rsidRPr="00000000">
        <w:rPr>
          <w:rtl w:val="0"/>
        </w:rPr>
      </w:r>
    </w:p>
    <w:p w:rsidR="00000000" w:rsidDel="00000000" w:rsidP="00000000" w:rsidRDefault="00000000" w:rsidRPr="00000000" w14:paraId="0000003A">
      <w:pPr>
        <w:pageBreakBefore w:val="0"/>
        <w:widowControl w:val="0"/>
        <w:spacing w:after="0" w:line="240" w:lineRule="auto"/>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3B">
      <w:pPr>
        <w:pageBreakBefore w:val="0"/>
        <w:widowControl w:val="0"/>
        <w:numPr>
          <w:ilvl w:val="0"/>
          <w:numId w:val="1"/>
        </w:numPr>
        <w:spacing w:after="68" w:line="240" w:lineRule="auto"/>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2013.-2019. Predstavnik uprave za kvalitet Farmaceutskog fakulteta Univerziteta u Sarajevu </w:t>
      </w:r>
    </w:p>
    <w:p w:rsidR="00000000" w:rsidDel="00000000" w:rsidP="00000000" w:rsidRDefault="00000000" w:rsidRPr="00000000" w14:paraId="0000003C">
      <w:pPr>
        <w:pageBreakBefore w:val="0"/>
        <w:widowControl w:val="0"/>
        <w:numPr>
          <w:ilvl w:val="0"/>
          <w:numId w:val="1"/>
        </w:numPr>
        <w:spacing w:after="68" w:line="240" w:lineRule="auto"/>
        <w:ind w:left="720" w:hanging="360"/>
        <w:rPr>
          <w:color w:val="000000"/>
          <w:sz w:val="23"/>
          <w:szCs w:val="23"/>
        </w:rPr>
      </w:pPr>
      <w:r w:rsidDel="00000000" w:rsidR="00000000" w:rsidRPr="00000000">
        <w:rPr>
          <w:rFonts w:ascii="Times New Roman" w:cs="Times New Roman" w:eastAsia="Times New Roman" w:hAnsi="Times New Roman"/>
          <w:sz w:val="23"/>
          <w:szCs w:val="23"/>
          <w:vertAlign w:val="baseline"/>
          <w:rtl w:val="0"/>
        </w:rPr>
        <w:t xml:space="preserve">2016.-2020. Član Odbora za osiguranje kvaliteta Farmaceutskog fakulteta Univerziteta u</w:t>
      </w:r>
      <w:r w:rsidDel="00000000" w:rsidR="00000000" w:rsidRPr="00000000">
        <w:rPr>
          <w:rFonts w:ascii="Times New Roman" w:cs="Times New Roman" w:eastAsia="Times New Roman" w:hAnsi="Times New Roman"/>
          <w:color w:val="000000"/>
          <w:sz w:val="23"/>
          <w:szCs w:val="23"/>
          <w:vertAlign w:val="baseline"/>
          <w:rtl w:val="0"/>
        </w:rPr>
        <w:t xml:space="preserve"> Sarajevu</w:t>
      </w:r>
    </w:p>
    <w:p w:rsidR="00000000" w:rsidDel="00000000" w:rsidP="00000000" w:rsidRDefault="00000000" w:rsidRPr="00000000" w14:paraId="0000003D">
      <w:pPr>
        <w:pageBreakBefore w:val="0"/>
        <w:widowControl w:val="0"/>
        <w:rPr>
          <w:vertAlign w:val="baseline"/>
        </w:rPr>
      </w:pPr>
      <w:r w:rsidDel="00000000" w:rsidR="00000000" w:rsidRPr="00000000">
        <w:rPr>
          <w:rtl w:val="0"/>
        </w:rPr>
      </w:r>
    </w:p>
    <w:p w:rsidR="00000000" w:rsidDel="00000000" w:rsidP="00000000" w:rsidRDefault="00000000" w:rsidRPr="00000000" w14:paraId="0000003E">
      <w:pPr>
        <w:pageBreakBefore w:val="0"/>
        <w:widowControl w:val="0"/>
        <w:spacing w:after="0" w:line="240" w:lineRule="auto"/>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Projekti: </w:t>
      </w:r>
      <w:r w:rsidDel="00000000" w:rsidR="00000000" w:rsidRPr="00000000">
        <w:rPr>
          <w:rtl w:val="0"/>
        </w:rPr>
      </w:r>
    </w:p>
    <w:p w:rsidR="00000000" w:rsidDel="00000000" w:rsidP="00000000" w:rsidRDefault="00000000" w:rsidRPr="00000000" w14:paraId="0000003F">
      <w:pPr>
        <w:pageBreakBefore w:val="0"/>
        <w:widowControl w:val="0"/>
        <w:numPr>
          <w:ilvl w:val="0"/>
          <w:numId w:val="1"/>
        </w:numPr>
        <w:ind w:left="720" w:hanging="360"/>
        <w:rPr>
          <w:sz w:val="23"/>
          <w:szCs w:val="23"/>
        </w:rPr>
      </w:pPr>
      <w:r w:rsidDel="00000000" w:rsidR="00000000" w:rsidRPr="00000000">
        <w:rPr>
          <w:sz w:val="23"/>
          <w:szCs w:val="23"/>
          <w:vertAlign w:val="baseline"/>
          <w:rtl w:val="0"/>
        </w:rPr>
        <w:t xml:space="preserve">Rezidue odabranih postojanih organskih polutanata u majčinom i kravljem mlijeku kao izvorima ekspozicije (voditelj projekta). Finansijer: Ministarstvo za obrazovanje, nauku i mlade Kantona Sarajevo (ugovor broj: </w:t>
      </w:r>
      <w:r w:rsidDel="00000000" w:rsidR="00000000" w:rsidRPr="00000000">
        <w:rPr>
          <w:vertAlign w:val="baseline"/>
          <w:rtl w:val="0"/>
        </w:rPr>
        <w:t xml:space="preserve">11/05-14-27919-1/19</w:t>
      </w:r>
      <w:r w:rsidDel="00000000" w:rsidR="00000000" w:rsidRPr="00000000">
        <w:rPr>
          <w:sz w:val="23"/>
          <w:szCs w:val="23"/>
          <w:vertAlign w:val="baseline"/>
          <w:rtl w:val="0"/>
        </w:rPr>
        <w:t xml:space="preserve">), 2019.-2020. </w:t>
      </w:r>
    </w:p>
    <w:p w:rsidR="00000000" w:rsidDel="00000000" w:rsidP="00000000" w:rsidRDefault="00000000" w:rsidRPr="00000000" w14:paraId="00000040">
      <w:pPr>
        <w:pageBreakBefore w:val="0"/>
        <w:widowControl w:val="0"/>
        <w:numPr>
          <w:ilvl w:val="0"/>
          <w:numId w:val="1"/>
        </w:numPr>
        <w:ind w:left="720" w:hanging="360"/>
        <w:rPr>
          <w:sz w:val="23"/>
          <w:szCs w:val="23"/>
        </w:rPr>
      </w:pPr>
      <w:r w:rsidDel="00000000" w:rsidR="00000000" w:rsidRPr="00000000">
        <w:rPr>
          <w:sz w:val="23"/>
          <w:szCs w:val="23"/>
          <w:vertAlign w:val="baseline"/>
          <w:rtl w:val="0"/>
        </w:rPr>
        <w:t xml:space="preserve">Sadržaj teških metala (As, Hg, Cd i Pb) u morskim plodovima i ribama na BiH tržištu kao faktor javnozdravstvenog rizika</w:t>
      </w:r>
      <w:r w:rsidDel="00000000" w:rsidR="00000000" w:rsidRPr="00000000">
        <w:rPr>
          <w:color w:val="ff0000"/>
          <w:sz w:val="23"/>
          <w:szCs w:val="23"/>
          <w:vertAlign w:val="baseline"/>
          <w:rtl w:val="0"/>
        </w:rPr>
        <w:t xml:space="preserve"> </w:t>
      </w:r>
      <w:r w:rsidDel="00000000" w:rsidR="00000000" w:rsidRPr="00000000">
        <w:rPr>
          <w:sz w:val="23"/>
          <w:szCs w:val="23"/>
          <w:vertAlign w:val="baseline"/>
          <w:rtl w:val="0"/>
        </w:rPr>
        <w:t xml:space="preserve">(voditelj projekta). Finansijer: Federalno ministarstvo obrazovanja i nauke (ugovor broj: 05-39-4116-1/17), 2017.-2019.</w:t>
      </w:r>
    </w:p>
    <w:p w:rsidR="00000000" w:rsidDel="00000000" w:rsidP="00000000" w:rsidRDefault="00000000" w:rsidRPr="00000000" w14:paraId="00000041">
      <w:pPr>
        <w:pageBreakBefore w:val="0"/>
        <w:widowControl w:val="0"/>
        <w:numPr>
          <w:ilvl w:val="0"/>
          <w:numId w:val="1"/>
        </w:numPr>
        <w:ind w:left="720" w:hanging="360"/>
        <w:rPr>
          <w:sz w:val="23"/>
          <w:szCs w:val="23"/>
        </w:rPr>
      </w:pPr>
      <w:r w:rsidDel="00000000" w:rsidR="00000000" w:rsidRPr="00000000">
        <w:rPr>
          <w:sz w:val="23"/>
          <w:szCs w:val="23"/>
          <w:vertAlign w:val="baseline"/>
          <w:rtl w:val="0"/>
        </w:rPr>
        <w:t xml:space="preserve">Ispitivanje kemijskog sastava, fotostabilnosti i termičke stabilnosti eteričnih ulja (učesnik projekta). Finansijer: Federalno ministarstvo obrazovanja i nauke (ugovor broj: 05-39-3831-1/15), 2015.-2016.</w:t>
      </w:r>
    </w:p>
    <w:p w:rsidR="00000000" w:rsidDel="00000000" w:rsidP="00000000" w:rsidRDefault="00000000" w:rsidRPr="00000000" w14:paraId="00000042">
      <w:pPr>
        <w:pageBreakBefore w:val="0"/>
        <w:widowControl w:val="0"/>
        <w:numPr>
          <w:ilvl w:val="0"/>
          <w:numId w:val="1"/>
        </w:numPr>
        <w:ind w:left="720" w:hanging="360"/>
        <w:rPr/>
      </w:pPr>
      <w:r w:rsidDel="00000000" w:rsidR="00000000" w:rsidRPr="00000000">
        <w:rPr>
          <w:sz w:val="23"/>
          <w:szCs w:val="23"/>
          <w:vertAlign w:val="baseline"/>
          <w:rtl w:val="0"/>
        </w:rPr>
        <w:t xml:space="preserve">Cooperation and capacity building on implementation of the Stockholm convention in BiH (učesnik projekta). Finansijer: Ministarstvo vanjskih poslova Kraljevine Norveške, 2012-2014.</w:t>
      </w:r>
      <w:r w:rsidDel="00000000" w:rsidR="00000000" w:rsidRPr="00000000">
        <w:rPr>
          <w:rtl w:val="0"/>
        </w:rPr>
      </w:r>
    </w:p>
    <w:p w:rsidR="00000000" w:rsidDel="00000000" w:rsidP="00000000" w:rsidRDefault="00000000" w:rsidRPr="00000000" w14:paraId="00000043">
      <w:pPr>
        <w:pageBreakBefore w:val="0"/>
        <w:widowControl w:val="0"/>
        <w:numPr>
          <w:ilvl w:val="0"/>
          <w:numId w:val="1"/>
        </w:numPr>
        <w:ind w:left="720" w:hanging="360"/>
        <w:rPr/>
      </w:pPr>
      <w:r w:rsidDel="00000000" w:rsidR="00000000" w:rsidRPr="00000000">
        <w:rPr>
          <w:vertAlign w:val="baseline"/>
          <w:rtl w:val="0"/>
        </w:rPr>
        <w:t xml:space="preserve">Capacity building for local implementation of the Stockholm Convention in BiH (BiHNoPOP) </w:t>
      </w:r>
      <w:r w:rsidDel="00000000" w:rsidR="00000000" w:rsidRPr="00000000">
        <w:rPr>
          <w:sz w:val="23"/>
          <w:szCs w:val="23"/>
          <w:vertAlign w:val="baseline"/>
          <w:rtl w:val="0"/>
        </w:rPr>
        <w:t xml:space="preserve">(učesnik projekta)</w:t>
      </w:r>
      <w:r w:rsidDel="00000000" w:rsidR="00000000" w:rsidRPr="00000000">
        <w:rPr>
          <w:vertAlign w:val="baseline"/>
          <w:rtl w:val="0"/>
        </w:rPr>
        <w:t xml:space="preserve">. Finansijer: Norwegian Ministry of Foreign Affairs, 2009.-2011.</w:t>
      </w:r>
    </w:p>
    <w:p w:rsidR="00000000" w:rsidDel="00000000" w:rsidP="00000000" w:rsidRDefault="00000000" w:rsidRPr="00000000" w14:paraId="00000044">
      <w:pPr>
        <w:pageBreakBefore w:val="0"/>
        <w:widowControl w:val="0"/>
        <w:numPr>
          <w:ilvl w:val="0"/>
          <w:numId w:val="1"/>
        </w:numPr>
        <w:ind w:left="720" w:hanging="360"/>
        <w:rPr>
          <w:sz w:val="23"/>
          <w:szCs w:val="23"/>
        </w:rPr>
      </w:pPr>
      <w:r w:rsidDel="00000000" w:rsidR="00000000" w:rsidRPr="00000000">
        <w:rPr>
          <w:sz w:val="23"/>
          <w:szCs w:val="23"/>
          <w:vertAlign w:val="baseline"/>
          <w:rtl w:val="0"/>
        </w:rPr>
        <w:t xml:space="preserve">Persistent Pollutants in Rivers in Bosnia and Hercegovina (učesnik projekta). Finansijer: Norwegian Research Council, 2006.-2009.</w:t>
      </w:r>
    </w:p>
    <w:p w:rsidR="00000000" w:rsidDel="00000000" w:rsidP="00000000" w:rsidRDefault="00000000" w:rsidRPr="00000000" w14:paraId="00000045">
      <w:pPr>
        <w:pageBreakBefore w:val="0"/>
        <w:widowControl w:val="0"/>
        <w:ind w:left="720" w:firstLine="0"/>
        <w:rPr>
          <w:sz w:val="23"/>
          <w:szCs w:val="23"/>
          <w:vertAlign w:val="baseline"/>
        </w:rPr>
      </w:pPr>
      <w:r w:rsidDel="00000000" w:rsidR="00000000" w:rsidRPr="00000000">
        <w:rPr>
          <w:rtl w:val="0"/>
        </w:rPr>
      </w:r>
    </w:p>
    <w:p w:rsidR="00000000" w:rsidDel="00000000" w:rsidP="00000000" w:rsidRDefault="00000000" w:rsidRPr="00000000" w14:paraId="00000046">
      <w:pPr>
        <w:pageBreakBefore w:val="0"/>
        <w:widowControl w:val="0"/>
        <w:rPr>
          <w:b w:val="0"/>
          <w:sz w:val="23"/>
          <w:szCs w:val="23"/>
          <w:vertAlign w:val="baseline"/>
        </w:rPr>
      </w:pPr>
      <w:r w:rsidDel="00000000" w:rsidR="00000000" w:rsidRPr="00000000">
        <w:rPr>
          <w:b w:val="1"/>
          <w:sz w:val="23"/>
          <w:szCs w:val="23"/>
          <w:vertAlign w:val="baseline"/>
          <w:rtl w:val="0"/>
        </w:rPr>
        <w:t xml:space="preserve">Odabrane publikacije (do 10 odabranih publikacija):</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sz w:val="23"/>
          <w:szCs w:val="23"/>
        </w:rPr>
      </w:pPr>
      <w:r w:rsidDel="00000000" w:rsidR="00000000" w:rsidRPr="00000000">
        <w:rPr>
          <w:rFonts w:ascii="Arial" w:cs="Arial" w:eastAsia="Arial" w:hAnsi="Arial"/>
          <w:color w:val="222222"/>
          <w:sz w:val="20"/>
          <w:szCs w:val="20"/>
          <w:highlight w:val="white"/>
          <w:rtl w:val="0"/>
        </w:rPr>
        <w:t xml:space="preserve">Marjanovic A, </w:t>
      </w:r>
      <w:r w:rsidDel="00000000" w:rsidR="00000000" w:rsidRPr="00000000">
        <w:rPr>
          <w:rFonts w:ascii="Arial" w:cs="Arial" w:eastAsia="Arial" w:hAnsi="Arial"/>
          <w:b w:val="1"/>
          <w:i w:val="1"/>
          <w:color w:val="222222"/>
          <w:sz w:val="20"/>
          <w:szCs w:val="20"/>
          <w:highlight w:val="white"/>
          <w:rtl w:val="0"/>
        </w:rPr>
        <w:t xml:space="preserve">Djedjibegovic J</w:t>
      </w:r>
      <w:r w:rsidDel="00000000" w:rsidR="00000000" w:rsidRPr="00000000">
        <w:rPr>
          <w:rFonts w:ascii="Arial" w:cs="Arial" w:eastAsia="Arial" w:hAnsi="Arial"/>
          <w:color w:val="222222"/>
          <w:sz w:val="20"/>
          <w:szCs w:val="20"/>
          <w:highlight w:val="white"/>
          <w:rtl w:val="0"/>
        </w:rPr>
        <w:t xml:space="preserve">, Lugusic A, Sober M, Saso L. </w:t>
      </w:r>
      <w:hyperlink r:id="rId6">
        <w:r w:rsidDel="00000000" w:rsidR="00000000" w:rsidRPr="00000000">
          <w:rPr>
            <w:rFonts w:ascii="Arial" w:cs="Arial" w:eastAsia="Arial" w:hAnsi="Arial"/>
            <w:color w:val="222222"/>
            <w:sz w:val="20"/>
            <w:szCs w:val="20"/>
            <w:rtl w:val="0"/>
          </w:rPr>
          <w:t xml:space="preserve">Multivariate analysis of polyphenolic content and in vitro antioxidant capacity of wild and cultivated berries from Bosnia and Herzegovina</w:t>
        </w:r>
      </w:hyperlink>
      <w:r w:rsidDel="00000000" w:rsidR="00000000" w:rsidRPr="00000000">
        <w:rPr>
          <w:rFonts w:ascii="Arial" w:cs="Arial" w:eastAsia="Arial" w:hAnsi="Arial"/>
          <w:b w:val="1"/>
          <w:i w:val="1"/>
          <w:color w:val="222222"/>
          <w:sz w:val="20"/>
          <w:szCs w:val="20"/>
          <w:rtl w:val="0"/>
        </w:rPr>
        <w:t xml:space="preserve">. </w:t>
      </w:r>
      <w:r w:rsidDel="00000000" w:rsidR="00000000" w:rsidRPr="00000000">
        <w:rPr>
          <w:rFonts w:ascii="Arial" w:cs="Arial" w:eastAsia="Arial" w:hAnsi="Arial"/>
          <w:i w:val="1"/>
          <w:color w:val="222222"/>
          <w:sz w:val="20"/>
          <w:szCs w:val="20"/>
          <w:rtl w:val="0"/>
        </w:rPr>
        <w:t xml:space="preserve">Scientific Reports. </w:t>
      </w:r>
      <w:r w:rsidDel="00000000" w:rsidR="00000000" w:rsidRPr="00000000">
        <w:rPr>
          <w:rFonts w:ascii="Arial" w:cs="Arial" w:eastAsia="Arial" w:hAnsi="Arial"/>
          <w:color w:val="222222"/>
          <w:sz w:val="20"/>
          <w:szCs w:val="20"/>
          <w:rtl w:val="0"/>
        </w:rPr>
        <w:t xml:space="preserve">11, 19259 (2021). </w:t>
      </w:r>
      <w:hyperlink r:id="rId7">
        <w:r w:rsidDel="00000000" w:rsidR="00000000" w:rsidRPr="00000000">
          <w:rPr>
            <w:rFonts w:ascii="Arial" w:cs="Arial" w:eastAsia="Arial" w:hAnsi="Arial"/>
            <w:color w:val="1155cc"/>
            <w:sz w:val="20"/>
            <w:szCs w:val="20"/>
            <w:u w:val="single"/>
            <w:rtl w:val="0"/>
          </w:rPr>
          <w:t xml:space="preserve">https://doi.org/10.1038/s41598-021-98896-8</w:t>
        </w:r>
      </w:hyperlink>
      <w:r w:rsidDel="00000000" w:rsidR="00000000" w:rsidRPr="00000000">
        <w:rPr>
          <w:rFonts w:ascii="Arial" w:cs="Arial" w:eastAsia="Arial" w:hAnsi="Arial"/>
          <w:color w:val="222222"/>
          <w:sz w:val="20"/>
          <w:szCs w:val="20"/>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Hajrić Dž, Smajlović M, Antunović B, Smajlović A, Alagić D, Tahirović D, Brenjo D, Članjak-Kudra E, </w:t>
      </w:r>
      <w:r w:rsidDel="00000000" w:rsidR="00000000" w:rsidRPr="00000000">
        <w:rPr>
          <w:rFonts w:ascii="Arial" w:cs="Arial" w:eastAsia="Arial" w:hAnsi="Arial"/>
          <w:b w:val="1"/>
          <w:i w:val="1"/>
          <w:color w:val="222222"/>
          <w:sz w:val="20"/>
          <w:szCs w:val="20"/>
          <w:rtl w:val="0"/>
        </w:rPr>
        <w:t xml:space="preserve">Djedjibegović J</w:t>
      </w:r>
      <w:r w:rsidDel="00000000" w:rsidR="00000000" w:rsidRPr="00000000">
        <w:rPr>
          <w:rFonts w:ascii="Arial" w:cs="Arial" w:eastAsia="Arial" w:hAnsi="Arial"/>
          <w:color w:val="222222"/>
          <w:sz w:val="20"/>
          <w:szCs w:val="20"/>
          <w:rtl w:val="0"/>
        </w:rPr>
        <w:t xml:space="preserve">, Porobić A, Poljak V, Risk assessment of heavy metal exposure via consumption of fish and fish products from the retail market in Bosnia and Herzegovina, Food Control, 2022;133, Part B, 108631, https://doi.org/10.1016/j.foodcont.2021.108631.</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Arial" w:cs="Arial" w:eastAsia="Arial" w:hAnsi="Arial"/>
          <w:color w:val="222222"/>
          <w:sz w:val="20"/>
          <w:szCs w:val="20"/>
          <w:u w:val="none"/>
        </w:rPr>
      </w:pPr>
      <w:r w:rsidDel="00000000" w:rsidR="00000000" w:rsidRPr="00000000">
        <w:rPr>
          <w:rFonts w:ascii="Arial" w:cs="Arial" w:eastAsia="Arial" w:hAnsi="Arial"/>
          <w:b w:val="1"/>
          <w:i w:val="1"/>
          <w:color w:val="222222"/>
          <w:sz w:val="20"/>
          <w:szCs w:val="20"/>
          <w:rtl w:val="0"/>
        </w:rPr>
        <w:t xml:space="preserve">Djedjibegovic, J</w:t>
      </w:r>
      <w:r w:rsidDel="00000000" w:rsidR="00000000" w:rsidRPr="00000000">
        <w:rPr>
          <w:rFonts w:ascii="Arial" w:cs="Arial" w:eastAsia="Arial" w:hAnsi="Arial"/>
          <w:color w:val="222222"/>
          <w:sz w:val="20"/>
          <w:szCs w:val="20"/>
          <w:rtl w:val="0"/>
        </w:rPr>
        <w:t xml:space="preserve">., Marjanovic, A., Tahirovic, D. et al. Heavy metals in commercial fish and seafood products and risk assessment in adult population in Bosnia and Herzegovina. Sci Rep 10, 13238 (2020). https://doi.org/10.1038/s41598-020-70205-9</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sz w:val="23"/>
          <w:szCs w:val="23"/>
        </w:rPr>
      </w:pPr>
      <w:r w:rsidDel="00000000" w:rsidR="00000000" w:rsidRPr="00000000">
        <w:rPr>
          <w:rFonts w:ascii="Arial" w:cs="Arial" w:eastAsia="Arial" w:hAnsi="Arial"/>
          <w:b w:val="1"/>
          <w:i w:val="1"/>
          <w:color w:val="222222"/>
          <w:sz w:val="20"/>
          <w:szCs w:val="20"/>
          <w:rtl w:val="0"/>
        </w:rPr>
        <w:t xml:space="preserve">Djedjibegovic J</w:t>
      </w:r>
      <w:r w:rsidDel="00000000" w:rsidR="00000000" w:rsidRPr="00000000">
        <w:rPr>
          <w:rFonts w:ascii="Arial" w:cs="Arial" w:eastAsia="Arial" w:hAnsi="Arial"/>
          <w:color w:val="222222"/>
          <w:sz w:val="20"/>
          <w:szCs w:val="20"/>
          <w:rtl w:val="0"/>
        </w:rPr>
        <w:t xml:space="preserve">, Marjanovic A, Kobilica I, Turalic A, Lugusic A, Sober M. Lifestyle management of polycystic ovary syndrome: a single-center study in Bosnia and Herzegovina. AIMS Public Health 2020;7(3):504-520</w:t>
      </w:r>
      <w:r w:rsidDel="00000000" w:rsidR="00000000" w:rsidRPr="00000000">
        <w:rPr>
          <w:rtl w:val="0"/>
        </w:rPr>
      </w:r>
    </w:p>
    <w:p w:rsidR="00000000" w:rsidDel="00000000" w:rsidP="00000000" w:rsidRDefault="00000000" w:rsidRPr="00000000" w14:paraId="0000004B">
      <w:pPr>
        <w:pageBreakBefore w:val="0"/>
        <w:numPr>
          <w:ilvl w:val="0"/>
          <w:numId w:val="2"/>
        </w:numPr>
        <w:shd w:fill="ffffff" w:val="clear"/>
        <w:spacing w:after="0" w:lineRule="auto"/>
        <w:ind w:left="360" w:hanging="360"/>
        <w:jc w:val="both"/>
        <w:rPr>
          <w:sz w:val="23"/>
          <w:szCs w:val="23"/>
        </w:rPr>
      </w:pPr>
      <w:r w:rsidDel="00000000" w:rsidR="00000000" w:rsidRPr="00000000">
        <w:rPr>
          <w:rFonts w:ascii="Arial" w:cs="Arial" w:eastAsia="Arial" w:hAnsi="Arial"/>
          <w:color w:val="222222"/>
          <w:sz w:val="20"/>
          <w:szCs w:val="20"/>
          <w:rtl w:val="0"/>
        </w:rPr>
        <w:t xml:space="preserve">A Turalić, </w:t>
      </w:r>
      <w:r w:rsidDel="00000000" w:rsidR="00000000" w:rsidRPr="00000000">
        <w:rPr>
          <w:rFonts w:ascii="Arial" w:cs="Arial" w:eastAsia="Arial" w:hAnsi="Arial"/>
          <w:b w:val="1"/>
          <w:i w:val="1"/>
          <w:color w:val="222222"/>
          <w:sz w:val="20"/>
          <w:szCs w:val="20"/>
          <w:rtl w:val="0"/>
        </w:rPr>
        <w:t xml:space="preserve">J Đeđibegović</w:t>
      </w:r>
      <w:r w:rsidDel="00000000" w:rsidR="00000000" w:rsidRPr="00000000">
        <w:rPr>
          <w:rFonts w:ascii="Arial" w:cs="Arial" w:eastAsia="Arial" w:hAnsi="Arial"/>
          <w:color w:val="222222"/>
          <w:sz w:val="20"/>
          <w:szCs w:val="20"/>
          <w:rtl w:val="0"/>
        </w:rPr>
        <w:t xml:space="preserve">, Z Hegedus, T Martinek. </w:t>
      </w:r>
      <w:r w:rsidDel="00000000" w:rsidR="00000000" w:rsidRPr="00000000">
        <w:rPr>
          <w:rFonts w:ascii="Arial" w:cs="Arial" w:eastAsia="Arial" w:hAnsi="Arial"/>
          <w:sz w:val="20"/>
          <w:szCs w:val="20"/>
          <w:rtl w:val="0"/>
        </w:rPr>
        <w:t xml:space="preserve">DPP‐4 Cleaves α/β‐Peptide Bonds: Substrate Specificity and Half‐Lives. </w:t>
      </w:r>
      <w:r w:rsidDel="00000000" w:rsidR="00000000" w:rsidRPr="00000000">
        <w:rPr>
          <w:rFonts w:ascii="Arial" w:cs="Arial" w:eastAsia="Arial" w:hAnsi="Arial"/>
          <w:color w:val="222222"/>
          <w:sz w:val="20"/>
          <w:szCs w:val="20"/>
          <w:rtl w:val="0"/>
        </w:rPr>
        <w:t xml:space="preserve">ChemBioChem, </w:t>
      </w:r>
      <w:r w:rsidDel="00000000" w:rsidR="00000000" w:rsidRPr="00000000">
        <w:rPr>
          <w:sz w:val="24"/>
          <w:szCs w:val="24"/>
          <w:rtl w:val="0"/>
        </w:rPr>
        <w:t xml:space="preserve">21(14):2060-2066</w:t>
      </w:r>
      <w:r w:rsidDel="00000000" w:rsidR="00000000" w:rsidRPr="00000000">
        <w:rPr>
          <w:rtl w:val="0"/>
        </w:rPr>
        <w:t xml:space="preserve">, </w:t>
      </w:r>
      <w:r w:rsidDel="00000000" w:rsidR="00000000" w:rsidRPr="00000000">
        <w:rPr>
          <w:rFonts w:ascii="Arial" w:cs="Arial" w:eastAsia="Arial" w:hAnsi="Arial"/>
          <w:color w:val="222222"/>
          <w:sz w:val="20"/>
          <w:szCs w:val="20"/>
          <w:rtl w:val="0"/>
        </w:rPr>
        <w:t xml:space="preserve">2020.</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Harman C, Grung M,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Marjanovic A, Fjeld E, Veiteberg Braaten HF, Sober M, Larssen T, Ranneklev SB. The organic pollutant status of rivers in Bosnia and Herzegovina as determined by a combination of active and passive sampling methods.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Environmental Monitoring and Assessment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2018;190:283. https://doi.org/10.1007/s10661-018-6667-6.</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Omeragić E, Marjanović A,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Dobrača A, Šober M. The content of polychlorinated biphenyls and organochlorine pesticides in tissues of date mussel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Lithophaga Lithophaga</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L., 1758) from the Sarajevo fish market.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Food and Feed Research</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2016;43(1):9-18.</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1"/>
          <w:i w:val="1"/>
          <w:smallCaps w:val="0"/>
          <w:strike w:val="0"/>
          <w:color w:val="222222"/>
          <w:sz w:val="23"/>
          <w:szCs w:val="23"/>
          <w:highlight w:val="white"/>
          <w:u w:val="none"/>
          <w:vertAlign w:val="baseline"/>
          <w:rtl w:val="0"/>
        </w:rPr>
        <w:t xml:space="preserve">Djedjibegovic J</w:t>
      </w:r>
      <w:r w:rsidDel="00000000" w:rsidR="00000000" w:rsidRPr="00000000">
        <w:rPr>
          <w:rFonts w:ascii="Calibri" w:cs="Calibri" w:eastAsia="Calibri" w:hAnsi="Calibri"/>
          <w:b w:val="0"/>
          <w:i w:val="0"/>
          <w:smallCaps w:val="0"/>
          <w:strike w:val="0"/>
          <w:color w:val="222222"/>
          <w:sz w:val="23"/>
          <w:szCs w:val="23"/>
          <w:highlight w:val="white"/>
          <w:u w:val="none"/>
          <w:vertAlign w:val="baseline"/>
          <w:rtl w:val="0"/>
        </w:rPr>
        <w:t xml:space="preserve">, Marjanovic A, Burnic S, Omeragic E, Dobraca A, Caklovica F, Sober M.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Polychlorinated biphenyls (PCBs) in fish from the Sana River (Bosnia and Herzegovina): A preliminary study on the health risk in sport fishermen.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Journal of Environmental Science and Health, Part B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2015;50(9):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638-644.</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Omeragić E,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Šober M, Marjanović A, Dedić M, Niksić H, Fidahić M. Use of dietary supplements among elite athletes.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SportLogia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2015;11(1):49–56.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Marjanović A,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Đeđibegović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Brčaninović M, Omeragić E, Čaklovica F, Dobrača A, Šober M. Antioxidant potential of selected traditional plant-based beverages in Bosnia and Herzegovina.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Bulletin of the Chemists and Technologists of Bosnia and Herzegovina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2015;45:9-12.</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Harman C, Grung M,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Marjanovic A, Sober M, Sinanovic K, Fjeld E, Rognerud S,  Ranneklev SB, Larssen T. Screening for Stockholm Convention persistent organic pollutants in the Bosna River (Bosnia and Herzogovina).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Environmental monitoring and assessment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2013;185(2):1671-1683.</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Larssen T, Skrbo A, Marjanovic A, Sober M. Contents of cadmium, copper, mercury and lead in fish from the Neretva river (Bosnia and Herzegovina) determined by inductively coupled plasma mass spectrometry (ICP-MS).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Food Chemistry</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2012;131(2):469-476.</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Calibri" w:cs="Calibri" w:eastAsia="Calibri" w:hAnsi="Calibri"/>
          <w:smallCaps w:val="0"/>
          <w:strike w:val="0"/>
          <w:color w:val="000000"/>
          <w:sz w:val="23"/>
          <w:szCs w:val="23"/>
          <w:u w:val="none"/>
          <w:shd w:fill="auto" w:val="clear"/>
        </w:rPr>
      </w:pP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Djedjibegovic J</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Marjanovic A, Sober M, Skrbo A, Sinanovic K, Larssen T, Grung M, Fjeld E, Rognerud S. Levels of persistent organic pollutants in the Neretva River (Bosnia and Herzegovina) determined by deployment of semipermeable membrane devices (SPMD). </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Journal of Environmental Science and Health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Part B. 2010;45(2):128-136.</w:t>
      </w:r>
    </w:p>
    <w:sectPr>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9993896"/>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r-H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ture.com/articles/s41598-021-98896-8" TargetMode="External"/><Relationship Id="rId7" Type="http://schemas.openxmlformats.org/officeDocument/2006/relationships/hyperlink" Target="https://doi.org/10.1038/s41598-021-9889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