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AND SURNAME: Mirha Pazalja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  experience: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Assistant Professor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Department of Chemistry in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Teaching and Researching Senior Assistant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 Teaching and Researching Assistant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PhD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Doctoral dissertaion: ''Development of a new sensor for thiol compounds based on dichloro-bis [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-phenyl-5-halogeno-salicylideniminato-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N, 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ruthenium (III) complex as an electron transfer mediator''.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 , Faculty of Science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 MSc in Chemistry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Master's thesis: ''Quantification of Sulfur in Natural and Artificial Fertilizers Using High Performance Ion Chromatography (HPIC)''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 , Faculty of Science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2006. Professor of chemistry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thesis: ''Isolation of green pigment from spinach''.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Tuzla , Faculty of Science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Study abroad: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Center for applied spectroscopy international summer schools, GC and UV-VIS spectroscopy application, Skopje, Macedonija,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in South East Europe: obstacles and opportunities, Radovljica, Slovenia, 2008.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''International School of Ion Chromatography'', Zagreb, Croatia, 2010.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Academic/teaching work: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Integrated study of 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Cycle of Studies at the Faculty of Pharmacy, University of Sarajevo.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Subject: General chemistry and Inorganic chemistry.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Cycle of Studies at the Faculty of Science, University of Sarajevo.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Subject: General chemistry for physics students and General chemistry.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Undergraduate study at the Faculty of Science, University of Sarajevo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Subject: Demonstrative Experiments in Chemistry and Methodology of Chemistry Education.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Cycle of Studies at the Faculty of Mechanical Engineering, University of Sarajevo.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Subject: Chemistry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Cycle of Studies at the Faculty of Mechanical Engineering, University of Sarajevo.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</w:t>
        <w:tab/>
        <w:t xml:space="preserve">Subject: Wood chemistry and auxiliary materials.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Compounds from marine organisms: in silico screening for potential drug against SARSCoV-2. Sarajevo Canton, Ministry of Science, Higher Education and Youth, 2021. Project leader: Selma Špirtović-Halilović.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risk assessment based on the content of harmful substances of chemically analyzed wood biomass (pellets and briquettes) available on the Bosnia and Herzegovina markets, 2019/2020, Federal Ministry of Education and Science in Bosnia and Herzegovina.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leader: Mirha Pazalja.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Analysis of the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antioxidant status of plants used in the nutrition in the Bosnia and Herzegovina market, 2015, Federal Ministry of Education and Science in Bosnia and Herzegovina.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leader: Aida Šapčanin.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Selected publications: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Kahrović E., Zahirović A., Turkušić 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(2016).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Electrochemical Sensor for Determination of L-Cysteine Based on Carbon Electrodes Modified with Ru(III) Schiff Base Complex, Carbon Nanotubes and Nafion. International Journal of Electrochemical Science, 11: 10939 – 10952.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(Web of Science - Current Contents)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Mahmutović-Dizdarević I, Jerković-Mujkić A, Suljagić J, Špirtović-Halilović S, Šapčanin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(2018).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Synthesis, DFT Study and Antimicrobial Activity of Schiff Bases Derived from Benzaldehydes and Amino Acids. Rasayan J. Chem., 11(3): 1074-1083.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(Elsevier Scopus, Chemical Abstracts, CAS®, EBSCO, SCImago)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 (2018).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Electrochemical Oxidation of Ascorbic Acid Mediated by Ru(III) Schiff-base Complex/Multi-Walled Carbon Nanotube/Nafion Modified Carbon Electrode. Journal of Chemical, Biological and Physical Science, 8(4): 601-610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(CAS, Ebesco Indexing, Index Copernicus, Directory of Open Access Journals).</w:t>
      </w:r>
    </w:p>
    <w:p w:rsidR="00000000" w:rsidDel="00000000" w:rsidP="00000000" w:rsidRDefault="00000000" w:rsidRPr="00000000" w14:paraId="0000002C">
      <w:pPr>
        <w:spacing w:after="0" w:line="276" w:lineRule="auto"/>
        <w:ind w:left="36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 Electrochemical Oxidation of 2, 5-Dimercapto-1, 3, 4-thiadiazole on Carbon Electrodes Modified with Ru(III) Schiff Base Complex.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Kemija u Industriji, Journal of Chemists and Chemical Engineers,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(7-8), 401-410.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Emerging Sources Citation Index, DOAJ, SCImago)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Halilović S. Š., Veljović E., Mahmutović-Dizdarević I., Roca S., Novaković I., Trifunović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Synthesis, characterization, antimicrobial activity and DFT study of some novel Schiff bases. Journal of Molecular Structure, 1241, 130670.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Current Contents Physical, Chemical &amp; Earth Sciences)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Salihović M., Sulejmanović J., Smajović A., Begić S., Špirtović-Halilović S., Sher 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Heavy metals content in ashes of wood pellets and the health risk assessment related to their presence in the environment. Scientific Reports, 11(1), 1-9.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Web of Science - Current Contents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Salihović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Huremović M., Ajanović A., Tahirović 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Chemical Ingredients of Fresh and Dry Wild Mushrooms from Bosnia and Herzegovina. Asian Journal of Pharmaceutical Research and Health Care, 13(3), 244-253.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(Web of Science - Emerging Sources Citation Index)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, Salihović M. (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). Spectrophotometric Determination of Cysteine Based on Complex Reaction Alizarin Red with Cooper. In the International Conference on Medical and Biological Engineering (pp. 474-480). Springer, Cham. (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shd w:fill="fcfcfc" w:val="clear"/>
          <w:rtl w:val="0"/>
        </w:rPr>
        <w:t xml:space="preserve">SCOPUS, EI Compendex, Japanese Science and Technology Agency (JST), SCImago)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426"/>
        </w:tabs>
        <w:spacing w:after="120" w:before="120" w:line="276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Salihovic M.,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Pazalja M.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Šapčanin A., Dojčinović B. P., Špirtović-Halilović,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(2021)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Element contents and health risk assessment in wild edible mushrooms of Bosnia and Herzegovina. Plant, Soil and Environment, 67(11), 668-677.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(Web of Science - Current Contents)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qFormat w:val="1"/>
    <w:rsid w:val="00A55FCA"/>
    <w:pPr>
      <w:ind w:left="720"/>
      <w:contextualSpacing w:val="1"/>
    </w:pPr>
  </w:style>
  <w:style w:type="paragraph" w:styleId="Default" w:customStyle="1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P2ZNThEFYFh0AkZiCD3jJC8fA==">AMUW2mVjwd8DrCQB0zr7Cc4HCS9q01d9XUSqgokchQXpRXpiO1GwYvO+BJBj6yTJEIF7Cvvq6IR70SmsgvPWCLtHyxygWK5XRsBjIDKixqzgRnF7bFAjKeKGXhSNe6LwkZY4BdbRLmGy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2019-12-04T07:50:00Z</dcterms:created>
  <dc:creator>PC</dc:creator>
</cp:coreProperties>
</file>