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360" w:lineRule="auto"/>
        <w:rPr>
          <w:b w:val="1"/>
          <w:color w:val="222222"/>
          <w:sz w:val="24"/>
          <w:szCs w:val="24"/>
          <w:highlight w:val="white"/>
        </w:rPr>
      </w:pPr>
      <w:r w:rsidDel="00000000" w:rsidR="00000000" w:rsidRPr="00000000">
        <w:rPr>
          <w:b w:val="1"/>
          <w:color w:val="222222"/>
          <w:sz w:val="24"/>
          <w:szCs w:val="24"/>
          <w:highlight w:val="white"/>
          <w:rtl w:val="0"/>
        </w:rPr>
        <w:t xml:space="preserve">Prezime i ime / </w:t>
      </w:r>
      <w:r w:rsidDel="00000000" w:rsidR="00000000" w:rsidRPr="00000000">
        <w:rPr>
          <w:b w:val="1"/>
          <w:i w:val="1"/>
          <w:color w:val="222222"/>
          <w:sz w:val="24"/>
          <w:szCs w:val="24"/>
          <w:highlight w:val="white"/>
          <w:rtl w:val="0"/>
        </w:rPr>
        <w:t xml:space="preserve">Surname and name</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02">
      <w:pPr>
        <w:pageBreakBefore w:val="0"/>
        <w:spacing w:after="0" w:line="360" w:lineRule="auto"/>
        <w:rPr>
          <w:b w:val="1"/>
          <w:color w:val="222222"/>
          <w:sz w:val="24"/>
          <w:szCs w:val="24"/>
          <w:highlight w:val="white"/>
        </w:rPr>
      </w:pPr>
      <w:r w:rsidDel="00000000" w:rsidR="00000000" w:rsidRPr="00000000">
        <w:rPr>
          <w:b w:val="0"/>
          <w:color w:val="222222"/>
          <w:sz w:val="24"/>
          <w:szCs w:val="24"/>
          <w:highlight w:val="white"/>
          <w:rtl w:val="0"/>
        </w:rPr>
        <w:t xml:space="preserve">Imamović Kadrić Selma</w:t>
      </w:r>
      <w:r w:rsidDel="00000000" w:rsidR="00000000" w:rsidRPr="00000000">
        <w:rPr>
          <w:rtl w:val="0"/>
        </w:rPr>
      </w:r>
    </w:p>
    <w:p w:rsidR="00000000" w:rsidDel="00000000" w:rsidP="00000000" w:rsidRDefault="00000000" w:rsidRPr="00000000" w14:paraId="00000003">
      <w:pPr>
        <w:pageBreakBefore w:val="0"/>
        <w:spacing w:after="0" w:line="360" w:lineRule="auto"/>
        <w:rPr>
          <w:color w:val="222222"/>
          <w:sz w:val="24"/>
          <w:szCs w:val="24"/>
          <w:highlight w:val="white"/>
        </w:rPr>
      </w:pPr>
      <w:r w:rsidDel="00000000" w:rsidR="00000000" w:rsidRPr="00000000">
        <w:rPr>
          <w:b w:val="1"/>
          <w:color w:val="222222"/>
          <w:sz w:val="24"/>
          <w:szCs w:val="24"/>
          <w:highlight w:val="white"/>
          <w:rtl w:val="0"/>
        </w:rPr>
        <w:t xml:space="preserve">Zvanje / </w:t>
      </w:r>
      <w:r w:rsidDel="00000000" w:rsidR="00000000" w:rsidRPr="00000000">
        <w:rPr>
          <w:b w:val="1"/>
          <w:i w:val="1"/>
          <w:color w:val="222222"/>
          <w:sz w:val="24"/>
          <w:szCs w:val="24"/>
          <w:highlight w:val="white"/>
          <w:rtl w:val="0"/>
        </w:rPr>
        <w:t xml:space="preserve">Position</w:t>
      </w:r>
      <w:r w:rsidDel="00000000" w:rsidR="00000000" w:rsidRPr="00000000">
        <w:rPr>
          <w:color w:val="222222"/>
          <w:sz w:val="24"/>
          <w:szCs w:val="24"/>
          <w:highlight w:val="white"/>
          <w:rtl w:val="0"/>
        </w:rPr>
        <w:t xml:space="preserve">: </w:t>
      </w:r>
    </w:p>
    <w:p w:rsidR="00000000" w:rsidDel="00000000" w:rsidP="00000000" w:rsidRDefault="00000000" w:rsidRPr="00000000" w14:paraId="00000004">
      <w:pPr>
        <w:pageBreakBefore w:val="0"/>
        <w:spacing w:after="0" w:line="360" w:lineRule="auto"/>
        <w:rPr>
          <w:color w:val="222222"/>
          <w:sz w:val="24"/>
          <w:szCs w:val="24"/>
          <w:highlight w:val="white"/>
        </w:rPr>
      </w:pPr>
      <w:r w:rsidDel="00000000" w:rsidR="00000000" w:rsidRPr="00000000">
        <w:rPr>
          <w:color w:val="222222"/>
          <w:sz w:val="24"/>
          <w:szCs w:val="24"/>
          <w:highlight w:val="white"/>
          <w:rtl w:val="0"/>
        </w:rPr>
        <w:t xml:space="preserve">Asistent / Teaching and research assistant</w:t>
      </w:r>
      <w:r w:rsidDel="00000000" w:rsidR="00000000" w:rsidRPr="00000000">
        <w:rPr>
          <w:color w:val="222222"/>
          <w:sz w:val="24"/>
          <w:szCs w:val="24"/>
          <w:rtl w:val="0"/>
        </w:rPr>
        <w:br w:type="textWrapping"/>
      </w:r>
      <w:r w:rsidDel="00000000" w:rsidR="00000000" w:rsidRPr="00000000">
        <w:rPr>
          <w:b w:val="1"/>
          <w:color w:val="222222"/>
          <w:sz w:val="24"/>
          <w:szCs w:val="24"/>
          <w:highlight w:val="white"/>
          <w:rtl w:val="0"/>
        </w:rPr>
        <w:t xml:space="preserve">Podorganizaciona jedinica / </w:t>
      </w:r>
      <w:r w:rsidDel="00000000" w:rsidR="00000000" w:rsidRPr="00000000">
        <w:rPr>
          <w:b w:val="1"/>
          <w:i w:val="1"/>
          <w:color w:val="222222"/>
          <w:sz w:val="24"/>
          <w:szCs w:val="24"/>
          <w:highlight w:val="white"/>
          <w:rtl w:val="0"/>
        </w:rPr>
        <w:t xml:space="preserve">Department</w:t>
      </w:r>
      <w:r w:rsidDel="00000000" w:rsidR="00000000" w:rsidRPr="00000000">
        <w:rPr>
          <w:color w:val="222222"/>
          <w:sz w:val="24"/>
          <w:szCs w:val="24"/>
          <w:highlight w:val="white"/>
          <w:rtl w:val="0"/>
        </w:rPr>
        <w:t xml:space="preserve">: </w:t>
      </w:r>
    </w:p>
    <w:p w:rsidR="00000000" w:rsidDel="00000000" w:rsidP="00000000" w:rsidRDefault="00000000" w:rsidRPr="00000000" w14:paraId="00000005">
      <w:pPr>
        <w:pageBreakBefore w:val="0"/>
        <w:spacing w:after="0" w:line="360" w:lineRule="auto"/>
        <w:rPr>
          <w:color w:val="222222"/>
          <w:sz w:val="24"/>
          <w:szCs w:val="24"/>
        </w:rPr>
      </w:pPr>
      <w:r w:rsidDel="00000000" w:rsidR="00000000" w:rsidRPr="00000000">
        <w:rPr>
          <w:color w:val="222222"/>
          <w:sz w:val="24"/>
          <w:szCs w:val="24"/>
          <w:highlight w:val="white"/>
          <w:rtl w:val="0"/>
        </w:rPr>
        <w:t xml:space="preserve">Katedra za Farmaceutsku biohemiju i laboratorijsku dijagnostiku</w:t>
      </w:r>
      <w:r w:rsidDel="00000000" w:rsidR="00000000" w:rsidRPr="00000000">
        <w:rPr>
          <w:color w:val="222222"/>
          <w:sz w:val="24"/>
          <w:szCs w:val="24"/>
          <w:rtl w:val="0"/>
        </w:rPr>
        <w:t xml:space="preserve"> / </w:t>
      </w:r>
    </w:p>
    <w:p w:rsidR="00000000" w:rsidDel="00000000" w:rsidP="00000000" w:rsidRDefault="00000000" w:rsidRPr="00000000" w14:paraId="00000006">
      <w:pPr>
        <w:pageBreakBefore w:val="0"/>
        <w:spacing w:after="0" w:line="360" w:lineRule="auto"/>
        <w:rPr>
          <w:color w:val="222222"/>
          <w:sz w:val="24"/>
          <w:szCs w:val="24"/>
          <w:highlight w:val="white"/>
        </w:rPr>
      </w:pPr>
      <w:r w:rsidDel="00000000" w:rsidR="00000000" w:rsidRPr="00000000">
        <w:rPr>
          <w:color w:val="222222"/>
          <w:sz w:val="24"/>
          <w:szCs w:val="24"/>
          <w:rtl w:val="0"/>
        </w:rPr>
        <w:t xml:space="preserve">Department of Biochemistry and Clinical Analysis</w:t>
        <w:br w:type="textWrapping"/>
      </w:r>
      <w:r w:rsidDel="00000000" w:rsidR="00000000" w:rsidRPr="00000000">
        <w:rPr>
          <w:b w:val="1"/>
          <w:color w:val="222222"/>
          <w:sz w:val="24"/>
          <w:szCs w:val="24"/>
          <w:highlight w:val="white"/>
          <w:rtl w:val="0"/>
        </w:rPr>
        <w:t xml:space="preserve">Prostorija / </w:t>
      </w:r>
      <w:r w:rsidDel="00000000" w:rsidR="00000000" w:rsidRPr="00000000">
        <w:rPr>
          <w:b w:val="1"/>
          <w:i w:val="1"/>
          <w:color w:val="222222"/>
          <w:sz w:val="24"/>
          <w:szCs w:val="24"/>
          <w:highlight w:val="white"/>
          <w:rtl w:val="0"/>
        </w:rPr>
        <w:t xml:space="preserve">Room</w:t>
      </w:r>
      <w:r w:rsidDel="00000000" w:rsidR="00000000" w:rsidRPr="00000000">
        <w:rPr>
          <w:color w:val="222222"/>
          <w:sz w:val="24"/>
          <w:szCs w:val="24"/>
          <w:highlight w:val="white"/>
          <w:rtl w:val="0"/>
        </w:rPr>
        <w:t xml:space="preserve">: </w:t>
      </w:r>
    </w:p>
    <w:p w:rsidR="00000000" w:rsidDel="00000000" w:rsidP="00000000" w:rsidRDefault="00000000" w:rsidRPr="00000000" w14:paraId="00000007">
      <w:pPr>
        <w:pageBreakBefore w:val="0"/>
        <w:spacing w:after="0" w:line="360" w:lineRule="auto"/>
        <w:rPr>
          <w:color w:val="222222"/>
          <w:sz w:val="24"/>
          <w:szCs w:val="24"/>
        </w:rPr>
      </w:pPr>
      <w:r w:rsidDel="00000000" w:rsidR="00000000" w:rsidRPr="00000000">
        <w:rPr>
          <w:color w:val="222222"/>
          <w:sz w:val="24"/>
          <w:szCs w:val="24"/>
          <w:highlight w:val="white"/>
          <w:rtl w:val="0"/>
        </w:rPr>
        <w:t xml:space="preserve">Kancelarija 15 / Room 15</w:t>
      </w:r>
      <w:r w:rsidDel="00000000" w:rsidR="00000000" w:rsidRPr="00000000">
        <w:rPr>
          <w:rtl w:val="0"/>
        </w:rPr>
      </w:r>
    </w:p>
    <w:p w:rsidR="00000000" w:rsidDel="00000000" w:rsidP="00000000" w:rsidRDefault="00000000" w:rsidRPr="00000000" w14:paraId="00000008">
      <w:pPr>
        <w:pageBreakBefore w:val="0"/>
        <w:spacing w:after="0" w:line="360" w:lineRule="auto"/>
        <w:rPr>
          <w:color w:val="222222"/>
          <w:sz w:val="24"/>
          <w:szCs w:val="24"/>
          <w:highlight w:val="white"/>
        </w:rPr>
      </w:pPr>
      <w:r w:rsidDel="00000000" w:rsidR="00000000" w:rsidRPr="00000000">
        <w:rPr>
          <w:b w:val="1"/>
          <w:color w:val="222222"/>
          <w:sz w:val="24"/>
          <w:szCs w:val="24"/>
          <w:highlight w:val="white"/>
          <w:rtl w:val="0"/>
        </w:rPr>
        <w:t xml:space="preserve">Telefon / </w:t>
      </w:r>
      <w:r w:rsidDel="00000000" w:rsidR="00000000" w:rsidRPr="00000000">
        <w:rPr>
          <w:b w:val="1"/>
          <w:i w:val="1"/>
          <w:color w:val="222222"/>
          <w:sz w:val="24"/>
          <w:szCs w:val="24"/>
          <w:highlight w:val="white"/>
          <w:rtl w:val="0"/>
        </w:rPr>
        <w:t xml:space="preserve">Contact</w:t>
      </w:r>
      <w:r w:rsidDel="00000000" w:rsidR="00000000" w:rsidRPr="00000000">
        <w:rPr>
          <w:color w:val="222222"/>
          <w:sz w:val="24"/>
          <w:szCs w:val="24"/>
          <w:highlight w:val="white"/>
          <w:rtl w:val="0"/>
        </w:rPr>
        <w:t xml:space="preserve">: </w:t>
      </w:r>
    </w:p>
    <w:p w:rsidR="00000000" w:rsidDel="00000000" w:rsidP="00000000" w:rsidRDefault="00000000" w:rsidRPr="00000000" w14:paraId="00000009">
      <w:pPr>
        <w:pageBreakBefore w:val="0"/>
        <w:spacing w:after="0" w:line="360" w:lineRule="auto"/>
        <w:rPr>
          <w:sz w:val="24"/>
          <w:szCs w:val="24"/>
        </w:rPr>
      </w:pPr>
      <w:r w:rsidDel="00000000" w:rsidR="00000000" w:rsidRPr="00000000">
        <w:rPr>
          <w:color w:val="222222"/>
          <w:sz w:val="24"/>
          <w:szCs w:val="24"/>
          <w:highlight w:val="white"/>
          <w:rtl w:val="0"/>
        </w:rPr>
        <w:t xml:space="preserve">033/586-194</w:t>
      </w:r>
      <w:r w:rsidDel="00000000" w:rsidR="00000000" w:rsidRPr="00000000">
        <w:rPr>
          <w:color w:val="222222"/>
          <w:sz w:val="24"/>
          <w:szCs w:val="24"/>
          <w:rtl w:val="0"/>
        </w:rPr>
        <w:br w:type="textWrapping"/>
      </w:r>
      <w:r w:rsidDel="00000000" w:rsidR="00000000" w:rsidRPr="00000000">
        <w:rPr>
          <w:b w:val="1"/>
          <w:color w:val="222222"/>
          <w:sz w:val="24"/>
          <w:szCs w:val="24"/>
          <w:highlight w:val="white"/>
          <w:rtl w:val="0"/>
        </w:rPr>
        <w:t xml:space="preserve">Email</w:t>
      </w:r>
      <w:r w:rsidDel="00000000" w:rsidR="00000000" w:rsidRPr="00000000">
        <w:rPr>
          <w:color w:val="222222"/>
          <w:sz w:val="24"/>
          <w:szCs w:val="24"/>
          <w:highlight w:val="white"/>
          <w:rtl w:val="0"/>
        </w:rPr>
        <w:t xml:space="preserve">: </w:t>
      </w:r>
      <w:r w:rsidDel="00000000" w:rsidR="00000000" w:rsidRPr="00000000">
        <w:rPr>
          <w:sz w:val="24"/>
          <w:szCs w:val="24"/>
          <w:rtl w:val="0"/>
        </w:rPr>
        <w:t xml:space="preserve"> </w:t>
      </w:r>
    </w:p>
    <w:p w:rsidR="00000000" w:rsidDel="00000000" w:rsidP="00000000" w:rsidRDefault="00000000" w:rsidRPr="00000000" w14:paraId="0000000A">
      <w:pPr>
        <w:pageBreakBefore w:val="0"/>
        <w:spacing w:after="0" w:line="360" w:lineRule="auto"/>
        <w:rPr>
          <w:sz w:val="24"/>
          <w:szCs w:val="24"/>
        </w:rPr>
      </w:pPr>
      <w:r w:rsidDel="00000000" w:rsidR="00000000" w:rsidRPr="00000000">
        <w:rPr>
          <w:sz w:val="24"/>
          <w:szCs w:val="24"/>
          <w:rtl w:val="0"/>
        </w:rPr>
        <w:t xml:space="preserve">selma.imamovic@ffsa.unsa.ba </w:t>
      </w:r>
    </w:p>
    <w:p w:rsidR="00000000" w:rsidDel="00000000" w:rsidP="00000000" w:rsidRDefault="00000000" w:rsidRPr="00000000" w14:paraId="0000000B">
      <w:pPr>
        <w:pageBreakBefore w:val="0"/>
        <w:rPr>
          <w:b w:val="1"/>
          <w:sz w:val="24"/>
          <w:szCs w:val="24"/>
        </w:rPr>
      </w:pPr>
      <w:r w:rsidDel="00000000" w:rsidR="00000000" w:rsidRPr="00000000">
        <w:rPr>
          <w:rtl w:val="0"/>
        </w:rPr>
      </w:r>
    </w:p>
    <w:p w:rsidR="00000000" w:rsidDel="00000000" w:rsidP="00000000" w:rsidRDefault="00000000" w:rsidRPr="00000000" w14:paraId="0000000C">
      <w:pPr>
        <w:pageBreakBefore w:val="0"/>
        <w:rPr>
          <w:b w:val="1"/>
          <w:sz w:val="24"/>
          <w:szCs w:val="24"/>
        </w:rPr>
      </w:pPr>
      <w:r w:rsidDel="00000000" w:rsidR="00000000" w:rsidRPr="00000000">
        <w:rPr>
          <w:b w:val="1"/>
          <w:sz w:val="24"/>
          <w:szCs w:val="24"/>
          <w:rtl w:val="0"/>
        </w:rPr>
        <w:t xml:space="preserve">Work  experience:</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2018.- Teaching and research assistant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Biochemistry and Clinical Analysis </w:t>
      </w:r>
    </w:p>
    <w:p w:rsidR="00000000" w:rsidDel="00000000" w:rsidP="00000000" w:rsidRDefault="00000000" w:rsidRPr="00000000" w14:paraId="0000000F">
      <w:pPr>
        <w:pageBreakBefore w:val="0"/>
        <w:rPr>
          <w:b w:val="1"/>
          <w:sz w:val="24"/>
          <w:szCs w:val="24"/>
        </w:rPr>
      </w:pPr>
      <w:r w:rsidDel="00000000" w:rsidR="00000000" w:rsidRPr="00000000">
        <w:rPr>
          <w:b w:val="1"/>
          <w:sz w:val="24"/>
          <w:szCs w:val="24"/>
          <w:rtl w:val="0"/>
        </w:rPr>
        <w:t xml:space="preserve">Education: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2013.-2018. Integrated study of Pharmacy,Faculty of Pharmacy, University of Sarajevo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Master thesis: „Drug-drug and drug-drug-gene interactions of CYP2C19“; Mentor: Assoc. Prof. Dr. Tanja Dujić</w:t>
      </w:r>
    </w:p>
    <w:p w:rsidR="00000000" w:rsidDel="00000000" w:rsidP="00000000" w:rsidRDefault="00000000" w:rsidRPr="00000000" w14:paraId="00000012">
      <w:pPr>
        <w:pageBreakBefore w:val="0"/>
        <w:rPr>
          <w:b w:val="1"/>
          <w:sz w:val="24"/>
          <w:szCs w:val="24"/>
        </w:rPr>
      </w:pPr>
      <w:r w:rsidDel="00000000" w:rsidR="00000000" w:rsidRPr="00000000">
        <w:rPr>
          <w:b w:val="1"/>
          <w:sz w:val="24"/>
          <w:szCs w:val="24"/>
          <w:rtl w:val="0"/>
        </w:rPr>
        <w:t xml:space="preserve">Scientific field of interest:</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Biochemistry of drug metabolism and transport</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Pharmacogenetics of type 2 diabetes; Pharmacogenetics of oral antiabetic drugs</w:t>
      </w:r>
    </w:p>
    <w:p w:rsidR="00000000" w:rsidDel="00000000" w:rsidP="00000000" w:rsidRDefault="00000000" w:rsidRPr="00000000" w14:paraId="0000001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6">
      <w:pPr>
        <w:pageBreakBefore w:val="0"/>
        <w:rPr>
          <w:b w:val="1"/>
          <w:sz w:val="24"/>
          <w:szCs w:val="24"/>
        </w:rPr>
      </w:pPr>
      <w:r w:rsidDel="00000000" w:rsidR="00000000" w:rsidRPr="00000000">
        <w:rPr>
          <w:rtl w:val="0"/>
        </w:rPr>
      </w:r>
    </w:p>
    <w:p w:rsidR="00000000" w:rsidDel="00000000" w:rsidP="00000000" w:rsidRDefault="00000000" w:rsidRPr="00000000" w14:paraId="00000017">
      <w:pPr>
        <w:pageBreakBefore w:val="0"/>
        <w:rPr>
          <w:b w:val="1"/>
          <w:sz w:val="24"/>
          <w:szCs w:val="24"/>
        </w:rPr>
      </w:pPr>
      <w:r w:rsidDel="00000000" w:rsidR="00000000" w:rsidRPr="00000000">
        <w:rPr>
          <w:rtl w:val="0"/>
        </w:rPr>
      </w:r>
    </w:p>
    <w:p w:rsidR="00000000" w:rsidDel="00000000" w:rsidP="00000000" w:rsidRDefault="00000000" w:rsidRPr="00000000" w14:paraId="00000018">
      <w:pPr>
        <w:pageBreakBefore w:val="0"/>
        <w:rPr>
          <w:b w:val="1"/>
          <w:sz w:val="24"/>
          <w:szCs w:val="24"/>
        </w:rPr>
      </w:pPr>
      <w:r w:rsidDel="00000000" w:rsidR="00000000" w:rsidRPr="00000000">
        <w:rPr>
          <w:rtl w:val="0"/>
        </w:rPr>
      </w:r>
    </w:p>
    <w:p w:rsidR="00000000" w:rsidDel="00000000" w:rsidP="00000000" w:rsidRDefault="00000000" w:rsidRPr="00000000" w14:paraId="00000019">
      <w:pPr>
        <w:pageBreakBefore w:val="0"/>
        <w:rPr>
          <w:b w:val="1"/>
          <w:sz w:val="24"/>
          <w:szCs w:val="24"/>
        </w:rPr>
      </w:pPr>
      <w:r w:rsidDel="00000000" w:rsidR="00000000" w:rsidRPr="00000000">
        <w:rPr>
          <w:rtl w:val="0"/>
        </w:rPr>
      </w:r>
    </w:p>
    <w:p w:rsidR="00000000" w:rsidDel="00000000" w:rsidP="00000000" w:rsidRDefault="00000000" w:rsidRPr="00000000" w14:paraId="0000001A">
      <w:pPr>
        <w:pageBreakBefore w:val="0"/>
        <w:rPr>
          <w:b w:val="1"/>
          <w:sz w:val="24"/>
          <w:szCs w:val="24"/>
        </w:rPr>
      </w:pPr>
      <w:r w:rsidDel="00000000" w:rsidR="00000000" w:rsidRPr="00000000">
        <w:rPr>
          <w:rtl w:val="0"/>
        </w:rPr>
      </w:r>
    </w:p>
    <w:p w:rsidR="00000000" w:rsidDel="00000000" w:rsidP="00000000" w:rsidRDefault="00000000" w:rsidRPr="00000000" w14:paraId="0000001B">
      <w:pPr>
        <w:pageBreakBefore w:val="0"/>
        <w:rPr>
          <w:b w:val="1"/>
          <w:sz w:val="24"/>
          <w:szCs w:val="24"/>
        </w:rPr>
      </w:pPr>
      <w:r w:rsidDel="00000000" w:rsidR="00000000" w:rsidRPr="00000000">
        <w:rPr>
          <w:rtl w:val="0"/>
        </w:rPr>
      </w:r>
    </w:p>
    <w:p w:rsidR="00000000" w:rsidDel="00000000" w:rsidP="00000000" w:rsidRDefault="00000000" w:rsidRPr="00000000" w14:paraId="0000001C">
      <w:pPr>
        <w:pageBreakBefore w:val="0"/>
        <w:rPr>
          <w:b w:val="1"/>
          <w:sz w:val="24"/>
          <w:szCs w:val="24"/>
        </w:rPr>
      </w:pPr>
      <w:r w:rsidDel="00000000" w:rsidR="00000000" w:rsidRPr="00000000">
        <w:rPr>
          <w:rtl w:val="0"/>
        </w:rPr>
      </w:r>
    </w:p>
    <w:p w:rsidR="00000000" w:rsidDel="00000000" w:rsidP="00000000" w:rsidRDefault="00000000" w:rsidRPr="00000000" w14:paraId="0000001D">
      <w:pPr>
        <w:pageBreakBefore w:val="0"/>
        <w:rPr>
          <w:b w:val="1"/>
          <w:sz w:val="24"/>
          <w:szCs w:val="24"/>
        </w:rPr>
      </w:pPr>
      <w:r w:rsidDel="00000000" w:rsidR="00000000" w:rsidRPr="00000000">
        <w:rPr>
          <w:rtl w:val="0"/>
        </w:rPr>
      </w:r>
    </w:p>
    <w:p w:rsidR="00000000" w:rsidDel="00000000" w:rsidP="00000000" w:rsidRDefault="00000000" w:rsidRPr="00000000" w14:paraId="0000001E">
      <w:pPr>
        <w:pageBreakBefore w:val="0"/>
        <w:rPr>
          <w:b w:val="1"/>
          <w:sz w:val="24"/>
          <w:szCs w:val="24"/>
        </w:rPr>
      </w:pPr>
      <w:r w:rsidDel="00000000" w:rsidR="00000000" w:rsidRPr="00000000">
        <w:rPr>
          <w:rtl w:val="0"/>
        </w:rPr>
      </w:r>
    </w:p>
    <w:p w:rsidR="00000000" w:rsidDel="00000000" w:rsidP="00000000" w:rsidRDefault="00000000" w:rsidRPr="00000000" w14:paraId="0000001F">
      <w:pPr>
        <w:pageBreakBefore w:val="0"/>
        <w:rPr>
          <w:b w:val="1"/>
          <w:sz w:val="24"/>
          <w:szCs w:val="24"/>
        </w:rPr>
      </w:pPr>
      <w:r w:rsidDel="00000000" w:rsidR="00000000" w:rsidRPr="00000000">
        <w:rPr>
          <w:b w:val="1"/>
          <w:sz w:val="24"/>
          <w:szCs w:val="24"/>
          <w:rtl w:val="0"/>
        </w:rPr>
        <w:t xml:space="preserve"> Radno iskustvo: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2018.- Asistent na Katedri za biohemiju i kliničke analize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Predmeti: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Biohemija lijekova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Odabrana poglavlja iz Biohemije lijekova: Farmakogenomika i personalizirani lijekovi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Obrazovanje: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2013.-2018. Integrirani studij I i II ciklusa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Farmaceutski fakultet, Univerzitet u Sarajevu</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Naslov Završnog rada: „Lijek-lijek i lijek-lijek.gen interakcije citokroma CYP2C19“</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Mentor: Prof.dr. Tanja Dujić</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Naučna oblast interesovanja: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Biohemija metabolizma i transporta lijekova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Farmakogenetika tipa 2 dijabetesa; Farmakogenetika oralnih hipoglikemika</w:t>
      </w:r>
    </w:p>
    <w:p w:rsidR="00000000" w:rsidDel="00000000" w:rsidP="00000000" w:rsidRDefault="00000000" w:rsidRPr="00000000" w14:paraId="0000002E">
      <w:pPr>
        <w:pageBreakBefore w:val="0"/>
        <w:rPr>
          <w:b w:val="1"/>
          <w:sz w:val="24"/>
          <w:szCs w:val="24"/>
        </w:rPr>
      </w:pPr>
      <w:r w:rsidDel="00000000" w:rsidR="00000000" w:rsidRPr="00000000">
        <w:rPr>
          <w:b w:val="1"/>
          <w:sz w:val="24"/>
          <w:szCs w:val="24"/>
          <w:rtl w:val="0"/>
        </w:rPr>
        <w:t xml:space="preserve">Selected publications (up to 10):</w:t>
      </w:r>
    </w:p>
    <w:p w:rsidR="00000000" w:rsidDel="00000000" w:rsidP="00000000" w:rsidRDefault="00000000" w:rsidRPr="00000000" w14:paraId="0000002F">
      <w:pPr>
        <w:pageBreakBefore w:val="0"/>
        <w:numPr>
          <w:ilvl w:val="0"/>
          <w:numId w:val="1"/>
        </w:numPr>
        <w:spacing w:after="0" w:lineRule="auto"/>
        <w:ind w:left="720" w:hanging="360"/>
        <w:rPr>
          <w:sz w:val="24"/>
          <w:szCs w:val="24"/>
        </w:rPr>
      </w:pPr>
      <w:r w:rsidDel="00000000" w:rsidR="00000000" w:rsidRPr="00000000">
        <w:rPr>
          <w:rtl w:val="0"/>
        </w:rPr>
        <w:t xml:space="preserve">Imamović Kadrić S, Kulo Ćesić A, Dujić T. (2021). Pharmacogenetics of new classes of antidiabetic drugs. Bosnian journal of basic medical sciences, 21(6), 659–671. </w:t>
      </w:r>
      <w:r w:rsidDel="00000000" w:rsidR="00000000" w:rsidRPr="00000000">
        <w:rPr>
          <w:rtl w:val="0"/>
        </w:rPr>
      </w:r>
    </w:p>
    <w:p w:rsidR="00000000" w:rsidDel="00000000" w:rsidP="00000000" w:rsidRDefault="00000000" w:rsidRPr="00000000" w14:paraId="00000030">
      <w:pPr>
        <w:pageBreakBefore w:val="0"/>
        <w:numPr>
          <w:ilvl w:val="0"/>
          <w:numId w:val="1"/>
        </w:numPr>
        <w:spacing w:after="0" w:lineRule="auto"/>
        <w:ind w:left="720" w:hanging="360"/>
        <w:rPr/>
      </w:pPr>
      <w:r w:rsidDel="00000000" w:rsidR="00000000" w:rsidRPr="00000000">
        <w:rPr>
          <w:rtl w:val="0"/>
        </w:rPr>
        <w:t xml:space="preserve">Dujić T, Cvijić S, Elezović A, Bego T, Imamović Kadrić S, Malenica M, Elezović A, Pearson ER, Kulo A. (2021) Interaction between Omeprazole and Gliclazide in Relation to CYP2C19 Phenotype. Journal of Personalized Medicine, 11(5):367.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Veljović E. et al. (2017) Artificial Neural Network and Docking Study in Design and Synthesis of Xanthenes as Antimicrobial Agents. In: Badnjevic A. (eds) CMBEBIH 2017. IFMBE Proceedings, vol 62. Springer, Singapore</w:t>
      </w:r>
    </w:p>
    <w:p w:rsidR="00000000" w:rsidDel="00000000" w:rsidP="00000000" w:rsidRDefault="00000000" w:rsidRPr="00000000" w14:paraId="00000032">
      <w:pPr>
        <w:numPr>
          <w:ilvl w:val="0"/>
          <w:numId w:val="3"/>
        </w:numPr>
        <w:spacing w:after="240" w:before="240" w:lineRule="auto"/>
        <w:ind w:left="720" w:hanging="360"/>
        <w:rPr>
          <w:sz w:val="24"/>
          <w:szCs w:val="24"/>
        </w:rPr>
      </w:pPr>
      <w:r w:rsidDel="00000000" w:rsidR="00000000" w:rsidRPr="00000000">
        <w:rPr>
          <w:sz w:val="24"/>
          <w:szCs w:val="24"/>
          <w:rtl w:val="0"/>
        </w:rPr>
        <w:t xml:space="preserve">Karahmet E, Prnjavorac B, Bego T, Meseldžić N, Imamović S, Karahmet E et al. (2021) IL-1β in Correlation to the Common Diabetic Complications. Acta Scientific Medical Sciences, 5(9):25-29.</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Imamović S, Meseldžić N, Malenica M, Bego T, Čaušević A, Dujić T. Drug-drug- gene interactions of cytochrome CYP2C19. The Fourth Congress of Pharmacists' of Bosnia and Herzegovina with international participation, Sarajevo, October 10-13, 2019. (oral presentation)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Tarakčija A. et al. (2020) Development of a Diagnostic Support Software in the Clinicobiochemical Evaluation of Thyroid Disease Diagnosis. In: Badnjevic A., Škrbić R., Gurbeta Pokvić L. (eds) CMBEBIH 2019. CMBEBIH 2019. IFMBE Proceedings, vol 73. Springer, Cham</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Begović N. et al. (2020) Development of a Diagnostic Support Software in the Clinicobiochemical Evaluation of Secondary Amenorrhea Diagnosis. In: Badnjevic A., Škrbić R., Gurbeta Pokvić L. (eds) CMBEBIH 2019. CMBEBIH 2019. IFMBE Proceedings, vol 73. Springer, Cham</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Meseldzic N, Bego T, Dujic T, Causevic A, Vukasinovic A, Kotur-Stevuljevic J, Imamovic S, Prnjavorac B, Malenica M. Correlation of oxidative stress parameters (Advanced oxidation protein products and Thiol groups) with lipid profile parameters in newly diagnosed diabetic patients. Poster presented at: IFCC EuroMedLab;2019 May 19-23; Barcelona, Spain.</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Bego T, Meseldžić N, Malenica M, Dujić T, Semiz S, Imamović S, Ćordić I, Prnjavorac B, Velija-Ašimi Z, Deljkić E, Bego Z, Čaušević A. The importance of determining markers of hepatic function in menopausal women with type 2 diabetes. Poster presented at: Congress of the Croatian Society of Biochemistry and Molecular Biology HDBMB2019 - CROSSROADS IN LIFE SCIENCES; 2019 September 25-28; Lovran, Croatia.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Malenica M, Smailagić A, Dujić T, Meseldžić N, Imamović S, Bego T, Čaušević A. Effects of type 2 diabetes on breast cancer in woman. The Fourth Congress of Pharmacists' of Bosnia and Herzegovina with international participation, Sarajevo, October 10-13, 2019. (oral presentation)</w:t>
      </w:r>
    </w:p>
    <w:p w:rsidR="00000000" w:rsidDel="00000000" w:rsidP="00000000" w:rsidRDefault="00000000" w:rsidRPr="00000000" w14:paraId="00000039">
      <w:pPr>
        <w:pageBreakBefore w:val="0"/>
        <w:rPr>
          <w:b w:val="1"/>
          <w:sz w:val="24"/>
          <w:szCs w:val="24"/>
        </w:rPr>
      </w:pPr>
      <w:r w:rsidDel="00000000" w:rsidR="00000000" w:rsidRPr="00000000">
        <w:rPr>
          <w:rtl w:val="0"/>
        </w:rPr>
      </w:r>
    </w:p>
    <w:p w:rsidR="00000000" w:rsidDel="00000000" w:rsidP="00000000" w:rsidRDefault="00000000" w:rsidRPr="00000000" w14:paraId="0000003A">
      <w:pPr>
        <w:pageBreakBefore w:val="0"/>
        <w:rPr>
          <w:b w:val="1"/>
          <w:sz w:val="24"/>
          <w:szCs w:val="24"/>
        </w:rPr>
      </w:pPr>
      <w:r w:rsidDel="00000000" w:rsidR="00000000" w:rsidRPr="00000000">
        <w:rPr>
          <w:rtl w:val="0"/>
        </w:rPr>
      </w:r>
    </w:p>
    <w:p w:rsidR="00000000" w:rsidDel="00000000" w:rsidP="00000000" w:rsidRDefault="00000000" w:rsidRPr="00000000" w14:paraId="0000003B">
      <w:pPr>
        <w:pageBreakBefore w:val="0"/>
        <w:rPr>
          <w:b w:val="1"/>
          <w:sz w:val="24"/>
          <w:szCs w:val="24"/>
        </w:rPr>
      </w:pPr>
      <w:r w:rsidDel="00000000" w:rsidR="00000000" w:rsidRPr="00000000">
        <w:rPr>
          <w:rtl w:val="0"/>
        </w:rPr>
      </w:r>
    </w:p>
    <w:p w:rsidR="00000000" w:rsidDel="00000000" w:rsidP="00000000" w:rsidRDefault="00000000" w:rsidRPr="00000000" w14:paraId="0000003C">
      <w:pPr>
        <w:pageBreakBefore w:val="0"/>
        <w:rPr>
          <w:b w:val="1"/>
          <w:sz w:val="24"/>
          <w:szCs w:val="24"/>
        </w:rPr>
      </w:pPr>
      <w:r w:rsidDel="00000000" w:rsidR="00000000" w:rsidRPr="00000000">
        <w:rPr>
          <w:rtl w:val="0"/>
        </w:rPr>
      </w:r>
    </w:p>
    <w:p w:rsidR="00000000" w:rsidDel="00000000" w:rsidP="00000000" w:rsidRDefault="00000000" w:rsidRPr="00000000" w14:paraId="0000003D">
      <w:pPr>
        <w:pageBreakBefore w:val="0"/>
        <w:rPr>
          <w:b w:val="1"/>
          <w:sz w:val="24"/>
          <w:szCs w:val="24"/>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rtl w:val="0"/>
        </w:rPr>
      </w:r>
    </w:p>
    <w:sectPr>
      <w:headerReference r:id="rId6" w:type="default"/>
      <w:pgSz w:h="16838" w:w="11906" w:orient="portrait"/>
      <w:pgMar w:bottom="1417" w:top="1417" w:left="1417" w:right="1417" w:header="708" w:footer="708"/>
      <w:pgNumType w:start="1"/>
      <w:cols w:equalWidth="0" w:num="2" w:sep="1">
        <w:col w:space="706" w:w="4182.999999999999"/>
        <w:col w:space="0" w:w="4182.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