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AND SURNAME: TAMER BEGO</w:t>
      </w:r>
    </w:p>
    <w:p w:rsidR="00000000" w:rsidDel="00000000" w:rsidP="00000000" w:rsidRDefault="00000000" w:rsidRPr="00000000" w14:paraId="0000000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  experience:</w:t>
      </w:r>
    </w:p>
    <w:p w:rsidR="00000000" w:rsidDel="00000000" w:rsidP="00000000" w:rsidRDefault="00000000" w:rsidRPr="00000000" w14:paraId="0000000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2018. Vice Dean for International relations</w:t>
      </w:r>
    </w:p>
    <w:p w:rsidR="00000000" w:rsidDel="00000000" w:rsidP="00000000" w:rsidRDefault="00000000" w:rsidRPr="00000000" w14:paraId="0000000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2016. Assistant Professor in Clinical biochemistry I and Clinical biocemistry II,</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Departmant of biochemistry and clinical analysis</w:t>
      </w:r>
    </w:p>
    <w:p w:rsidR="00000000" w:rsidDel="00000000" w:rsidP="00000000" w:rsidRDefault="00000000" w:rsidRPr="00000000" w14:paraId="0000000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2007. Teaching and research assistant in Clinical biochemistry I and Clinical biocemistry II, Departmant of biochemistry and clinical analysis</w:t>
      </w:r>
    </w:p>
    <w:p w:rsidR="00000000" w:rsidDel="00000000" w:rsidP="00000000" w:rsidRDefault="00000000" w:rsidRPr="00000000" w14:paraId="00000008">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Education: </w:t>
      </w:r>
    </w:p>
    <w:p w:rsidR="00000000" w:rsidDel="00000000" w:rsidP="00000000" w:rsidRDefault="00000000" w:rsidRPr="00000000" w14:paraId="0000000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2016. PhD (Pharmaceutical Sciences)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3e3938"/>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Doctoral dissertaion: „</w:t>
      </w: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,Analysis of candidate gene polymorphisms associated with metabolic changes and biochemical indicators of Type 2 diabetes”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3e39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2016. Medical biochemistry specialist</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3e3938"/>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Specialisation in Medical biochemistry, OU Clinical chemistry and biochemistry, Clinical Center, University of Sarajevo, Sarajevo, Bosnia and Herzegovina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2011.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Master of science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Master Thesis: ,,Genetic polymorphisms of </w:t>
      </w:r>
      <w:r w:rsidDel="00000000" w:rsidR="00000000" w:rsidRPr="00000000">
        <w:rPr>
          <w:rFonts w:ascii="Arial" w:cs="Arial" w:eastAsia="Arial" w:hAnsi="Arial"/>
          <w:b w:val="0"/>
          <w:i w:val="1"/>
          <w:smallCaps w:val="0"/>
          <w:strike w:val="0"/>
          <w:color w:val="3e3938"/>
          <w:sz w:val="24"/>
          <w:szCs w:val="24"/>
          <w:u w:val="none"/>
          <w:shd w:fill="auto" w:val="clear"/>
          <w:vertAlign w:val="baseline"/>
          <w:rtl w:val="0"/>
        </w:rPr>
        <w:t xml:space="preserve">PPARG </w:t>
      </w: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3e3938"/>
          <w:sz w:val="24"/>
          <w:szCs w:val="24"/>
          <w:u w:val="none"/>
          <w:shd w:fill="auto" w:val="clear"/>
          <w:vertAlign w:val="baseline"/>
          <w:rtl w:val="0"/>
        </w:rPr>
        <w:t xml:space="preserve">LPIN1 </w:t>
      </w: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gene as potential risk factors in the development of metabolic syndrome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Faculty of Natural Sciences - Genetics, University of Sarajevo, Sarajevo, Bosnia and Herzegovina</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hanging="360"/>
        <w:jc w:val="left"/>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2007.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Master of pharmacy</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Graduate thesis: Comparative analysis of powder preparation methods for forensic DNA analysis</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Faculty of Pharmacy, University of Sarajevo, Sarajevo, Bosnia and Herzegovina</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University of Sarajevo Gold Medallist, First in Class at the Faculty of Pharmacy (average grade 93,2%), University of Sarajevo</w:t>
      </w:r>
      <w:r w:rsidDel="00000000" w:rsidR="00000000" w:rsidRPr="00000000">
        <w:rPr>
          <w:rtl w:val="0"/>
        </w:rPr>
      </w:r>
    </w:p>
    <w:p w:rsidR="00000000" w:rsidDel="00000000" w:rsidP="00000000" w:rsidRDefault="00000000" w:rsidRPr="00000000" w14:paraId="00000018">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Study abroad:</w:t>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2019 Erasmus + grant to participate in Staff Mobility for Training, Faculty of Pharmacy, University of Porto, Porto, Portugal</w:t>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2019, Erasmus + grant for participation in the International Staff Training Week, University of Warsaw, Warsaw, Poland</w:t>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2019, Erasmus + grant to participate in "International Staff Training Week" Radboud University, Nijmegen, The Netherlands</w:t>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2015, Erasmus Mundus Basileus Scholarship, University of Ljubljana, Faculty of Pharmacy, Chair of Clinical Chemistry, Ljubljana, Slovenia</w:t>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2014, CEEPUS III - Central European Excange Program University Study,, Hradec Kralove University Hospital, Charles University, Hradec Kralove Institute for Clinical Biochemistry and Diagnostics, Czech Republic</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2013, CEEPUS III - Central European Excange Program University Study, University of Ljubljana, Faculty of Pharmacy, Chair of Clinical Chemistry, Ljubljana, Slovenia</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2011, CEEPUS III - Central European Excange Program University Study, University of Ljubljana, Faculty of Pharmacy, Chair of Clinical Chemistry, Ljubljana, Slovenia</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2008, Bilateral project, scientific and research cooperation between the Republic of Slovenia and B&amp;H, University of Ljubljana, Faculty of Pharmacy, Chair of Clinical Chemistry, Ljubljana, Slovenia</w:t>
      </w:r>
    </w:p>
    <w:p w:rsidR="00000000" w:rsidDel="00000000" w:rsidP="00000000" w:rsidRDefault="00000000" w:rsidRPr="00000000" w14:paraId="0000002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Academic/teaching work: </w:t>
      </w:r>
    </w:p>
    <w:p w:rsidR="00000000" w:rsidDel="00000000" w:rsidP="00000000" w:rsidRDefault="00000000" w:rsidRPr="00000000" w14:paraId="00000025">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Integrated study of 1st and 2nd cycle of Faculty of Pharmacy, University of Sarajevo</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360"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Clinical Biochemistry I </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360"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Clinical Biochemistry II </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360"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Selected Topics in Clinical Biochemistry - Biomarkers</w:t>
      </w:r>
    </w:p>
    <w:p w:rsidR="00000000" w:rsidDel="00000000" w:rsidP="00000000" w:rsidRDefault="00000000" w:rsidRPr="00000000" w14:paraId="00000029">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A">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36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PhD studies at the Faculty of Pharmacy, University of Sarajevo</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360"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Ethical principles and good laboratory and clinical practice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360"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Research techniques in pharmacy</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360"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Biochemical engineering</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360"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Pharmacogenomics and personalized therapy</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360"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Fundamentals of molecular diagnostics in clinical biochemistry</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360"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Molecular basis of disease</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360"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New trends in the extraction of bioactive substances and their metabolites</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360"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Oxidative stress in disease pathogenesis with reference to biomarkers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360"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 modern approach in the diagnosis and monitoring of diabetes mellitus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academic positions and involments:</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2019 – Present: FEBS Educational Ambassador for BiH</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2018 - Present: Vice-Dean for International Cooperation</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2018 - Present Member of the International Cooperation Committee of the University of Sarajevo</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2018 – Present: Vice President of the Society for Medical and Biological Engineering of Bosnia and Herzegovina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Projects: </w:t>
      </w:r>
    </w:p>
    <w:p w:rsidR="00000000" w:rsidDel="00000000" w:rsidP="00000000" w:rsidRDefault="00000000" w:rsidRPr="00000000" w14:paraId="0000003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3e3938"/>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Central European Exchange Program for University Studies (CEEPUS) Project: “Image Processing, Information Engineering &amp; Interdisciplinary Knowledge Exchange”, 2019- Present.</w:t>
      </w:r>
    </w:p>
    <w:p w:rsidR="00000000" w:rsidDel="00000000" w:rsidP="00000000" w:rsidRDefault="00000000" w:rsidRPr="00000000" w14:paraId="0000003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TAIEX Regional Workshop on Biomedical Engineering (Biomedical Signals, Medical Physics, Nanotechnology, Biosensors, Genetics, Renewable Energy Sources). European Commission. (February – December 2018)</w:t>
      </w:r>
    </w:p>
    <w:p w:rsidR="00000000" w:rsidDel="00000000" w:rsidP="00000000" w:rsidRDefault="00000000" w:rsidRPr="00000000" w14:paraId="0000003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Grant of Federal Ministry of Education and Science of Bosnia and Herzegovina,  ,,Importance of determination of parameters of oxidative stress, inflammation and hemostasis in early diagnosis of obesity in the pediatric population, 2017-Present</w:t>
      </w:r>
    </w:p>
    <w:p w:rsidR="00000000" w:rsidDel="00000000" w:rsidP="00000000" w:rsidRDefault="00000000" w:rsidRPr="00000000" w14:paraId="0000003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Grant of Federal Ministry of Education and Science of Bosnia and Herzegovina, „Neuronal Networks and QSAR in designing and synthesizing pharmacologically active xanthenes“, 2016-2018</w:t>
      </w:r>
    </w:p>
    <w:p w:rsidR="00000000" w:rsidDel="00000000" w:rsidP="00000000" w:rsidRDefault="00000000" w:rsidRPr="00000000" w14:paraId="0000004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Grant of Cantonal Ministry for education and science Canton Sarajevo, „Synthesis, structure and testing of tetraketone biological activity, 2016-2018</w:t>
      </w:r>
    </w:p>
    <w:p w:rsidR="00000000" w:rsidDel="00000000" w:rsidP="00000000" w:rsidRDefault="00000000" w:rsidRPr="00000000" w14:paraId="0000004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Grant for EU-FP7 project preparation by the Council of Ministers BH, 2015, titled “Genetic testing and personalized therapy: Perspectives in biomedicine and ethics”, 2015-2017.</w:t>
      </w:r>
    </w:p>
    <w:p w:rsidR="00000000" w:rsidDel="00000000" w:rsidP="00000000" w:rsidRDefault="00000000" w:rsidRPr="00000000" w14:paraId="0000004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Grant for EU-FP7 project preparation by the Council of Ministers BH, 2014, titled: “Personalized Healthcare for the European Citizen – a Pan-European Trans-disciplinary Network”, 2014- 2015. </w:t>
      </w:r>
    </w:p>
    <w:p w:rsidR="00000000" w:rsidDel="00000000" w:rsidP="00000000" w:rsidRDefault="00000000" w:rsidRPr="00000000" w14:paraId="0000004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Grant for EU-FP7 project preparation by the Council of Ministers BH, 2013, titled: “Personalized Therapy of Type 2 Diabetes Through European Research Network”, 2013-2014. – </w:t>
      </w:r>
      <w:r w:rsidDel="00000000" w:rsidR="00000000" w:rsidRPr="00000000">
        <w:rPr>
          <w:rtl w:val="0"/>
        </w:rPr>
      </w:r>
    </w:p>
    <w:p w:rsidR="00000000" w:rsidDel="00000000" w:rsidP="00000000" w:rsidRDefault="00000000" w:rsidRPr="00000000" w14:paraId="0000004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Grant by the Federal Ministry for Education and Science of Bosnia and Herzegovina, “Pharmacogenetic factors associated with optimal therapy of Type 2 diabetes”, 2012-2014.</w:t>
      </w:r>
      <w:r w:rsidDel="00000000" w:rsidR="00000000" w:rsidRPr="00000000">
        <w:rPr>
          <w:rtl w:val="0"/>
        </w:rPr>
      </w:r>
    </w:p>
    <w:p w:rsidR="00000000" w:rsidDel="00000000" w:rsidP="00000000" w:rsidRDefault="00000000" w:rsidRPr="00000000" w14:paraId="0000004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Grant for EU-FP7 project preparation by the Council of Ministers BiH, titled: “Genetic Variations of Drug-metabolizing enzymes in Type 2 Diabetes”, 2010-2011. </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Grant for EU-FP7 project preparation by the Council of Ministers BiH, in the area of Characterization of Genetic Variation in European Populations for Safe and Efficient treatment of Diabetes and Prevention from Cardiovascular Disease, 2009-2010.</w:t>
      </w:r>
      <w:r w:rsidDel="00000000" w:rsidR="00000000" w:rsidRPr="00000000">
        <w:rPr>
          <w:rtl w:val="0"/>
        </w:rPr>
      </w:r>
    </w:p>
    <w:p w:rsidR="00000000" w:rsidDel="00000000" w:rsidP="00000000" w:rsidRDefault="00000000" w:rsidRPr="00000000" w14:paraId="0000004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Bilateral project Slovenia - Bosnia and Herzegovina „Genetic polymorphisms associated with metabolic syndrome”, 2008-2010.</w:t>
      </w:r>
      <w:r w:rsidDel="00000000" w:rsidR="00000000" w:rsidRPr="00000000">
        <w:rPr>
          <w:rtl w:val="0"/>
        </w:rPr>
      </w:r>
    </w:p>
    <w:p w:rsidR="00000000" w:rsidDel="00000000" w:rsidP="00000000" w:rsidRDefault="00000000" w:rsidRPr="00000000" w14:paraId="0000004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Central European Exchange Program for University Studies (CEEPUS) Project: “Novel diagnostic and therapeutic approaches to complex genetic disorders”, 2012- Present.</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205"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e3938"/>
          <w:sz w:val="24"/>
          <w:szCs w:val="24"/>
          <w:u w:val="none"/>
          <w:shd w:fill="auto" w:val="clear"/>
          <w:vertAlign w:val="baseline"/>
          <w:rtl w:val="0"/>
        </w:rPr>
        <w:t xml:space="preserve">Grant of Cantonal Ministry for education and science Canton Sarajevo „AST, ALT, and AP as potential biomarkers in progression and prognosis of type 1 and type 2 diabetes mellitus”, 2007- 2009.</w:t>
      </w:r>
      <w:r w:rsidDel="00000000" w:rsidR="00000000" w:rsidRPr="00000000">
        <w:rPr>
          <w:rtl w:val="0"/>
        </w:rPr>
      </w:r>
    </w:p>
    <w:p w:rsidR="00000000" w:rsidDel="00000000" w:rsidP="00000000" w:rsidRDefault="00000000" w:rsidRPr="00000000" w14:paraId="0000004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Selected publications (up to 10):</w:t>
      </w:r>
    </w:p>
    <w:p w:rsidR="00000000" w:rsidDel="00000000" w:rsidP="00000000" w:rsidRDefault="00000000" w:rsidRPr="00000000" w14:paraId="0000004C">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widowControl w:val="0"/>
        <w:numPr>
          <w:ilvl w:val="0"/>
          <w:numId w:val="4"/>
        </w:numPr>
        <w:spacing w:after="0" w:line="360" w:lineRule="auto"/>
        <w:ind w:left="0" w:hanging="360"/>
        <w:jc w:val="both"/>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highlight w:val="white"/>
          <w:rtl w:val="0"/>
        </w:rPr>
        <w:t xml:space="preserve">Dujic T, </w:t>
      </w:r>
      <w:r w:rsidDel="00000000" w:rsidR="00000000" w:rsidRPr="00000000">
        <w:rPr>
          <w:rFonts w:ascii="Arial" w:cs="Arial" w:eastAsia="Arial" w:hAnsi="Arial"/>
          <w:b w:val="1"/>
          <w:sz w:val="24"/>
          <w:szCs w:val="24"/>
          <w:highlight w:val="white"/>
          <w:rtl w:val="0"/>
        </w:rPr>
        <w:t xml:space="preserve">Bego T,</w:t>
      </w:r>
      <w:r w:rsidDel="00000000" w:rsidR="00000000" w:rsidRPr="00000000">
        <w:rPr>
          <w:rFonts w:ascii="Arial" w:cs="Arial" w:eastAsia="Arial" w:hAnsi="Arial"/>
          <w:sz w:val="24"/>
          <w:szCs w:val="24"/>
          <w:highlight w:val="white"/>
          <w:rtl w:val="0"/>
        </w:rPr>
        <w:t xml:space="preserve"> Malenica M, Velija-Asimi Z, Ahlqvist E, Groop L, Pearson E, Causevic A, Semiz S. </w:t>
      </w:r>
      <w:hyperlink r:id="rId6">
        <w:r w:rsidDel="00000000" w:rsidR="00000000" w:rsidRPr="00000000">
          <w:rPr>
            <w:rFonts w:ascii="Arial" w:cs="Arial" w:eastAsia="Arial" w:hAnsi="Arial"/>
            <w:color w:val="000000"/>
            <w:sz w:val="24"/>
            <w:szCs w:val="24"/>
            <w:highlight w:val="white"/>
            <w:u w:val="none"/>
            <w:rtl w:val="0"/>
          </w:rPr>
          <w:t xml:space="preserve">Effects of TCF7L2 rs7903146 variant on metformin response in patients with type 2 diabetes</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Bosnian Journal of Basic Medical Sciences, </w:t>
      </w:r>
      <w:r w:rsidDel="00000000" w:rsidR="00000000" w:rsidRPr="00000000">
        <w:rPr>
          <w:rFonts w:ascii="Arial" w:cs="Arial" w:eastAsia="Arial" w:hAnsi="Arial"/>
          <w:color w:val="000000"/>
          <w:sz w:val="24"/>
          <w:szCs w:val="24"/>
          <w:highlight w:val="white"/>
          <w:rtl w:val="0"/>
        </w:rPr>
        <w:t xml:space="preserve">2019; 19(4): 368–374.</w:t>
      </w:r>
      <w:r w:rsidDel="00000000" w:rsidR="00000000" w:rsidRPr="00000000">
        <w:rPr>
          <w:rtl w:val="0"/>
        </w:rPr>
      </w:r>
    </w:p>
    <w:p w:rsidR="00000000" w:rsidDel="00000000" w:rsidP="00000000" w:rsidRDefault="00000000" w:rsidRPr="00000000" w14:paraId="0000004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widowControl w:val="0"/>
        <w:numPr>
          <w:ilvl w:val="0"/>
          <w:numId w:val="4"/>
        </w:numPr>
        <w:spacing w:after="0" w:line="360" w:lineRule="auto"/>
        <w:ind w:left="0" w:hanging="360"/>
        <w:jc w:val="both"/>
        <w:rPr>
          <w:rFonts w:ascii="Arial" w:cs="Arial" w:eastAsia="Arial" w:hAnsi="Arial"/>
          <w:sz w:val="24"/>
          <w:szCs w:val="24"/>
          <w:highlight w:val="white"/>
        </w:rPr>
      </w:pPr>
      <w:bookmarkStart w:colFirst="0" w:colLast="0" w:name="_1fob9te" w:id="2"/>
      <w:bookmarkEnd w:id="2"/>
      <w:r w:rsidDel="00000000" w:rsidR="00000000" w:rsidRPr="00000000">
        <w:rPr>
          <w:rFonts w:ascii="Arial" w:cs="Arial" w:eastAsia="Arial" w:hAnsi="Arial"/>
          <w:sz w:val="24"/>
          <w:szCs w:val="24"/>
          <w:highlight w:val="white"/>
          <w:rtl w:val="0"/>
        </w:rPr>
        <w:t xml:space="preserve">Mahmutovic L, </w:t>
      </w:r>
      <w:r w:rsidDel="00000000" w:rsidR="00000000" w:rsidRPr="00000000">
        <w:rPr>
          <w:rFonts w:ascii="Arial" w:cs="Arial" w:eastAsia="Arial" w:hAnsi="Arial"/>
          <w:b w:val="1"/>
          <w:sz w:val="24"/>
          <w:szCs w:val="24"/>
          <w:highlight w:val="white"/>
          <w:rtl w:val="0"/>
        </w:rPr>
        <w:t xml:space="preserve">Bego T</w:t>
      </w:r>
      <w:r w:rsidDel="00000000" w:rsidR="00000000" w:rsidRPr="00000000">
        <w:rPr>
          <w:rFonts w:ascii="Arial" w:cs="Arial" w:eastAsia="Arial" w:hAnsi="Arial"/>
          <w:sz w:val="24"/>
          <w:szCs w:val="24"/>
          <w:highlight w:val="white"/>
          <w:rtl w:val="0"/>
        </w:rPr>
        <w:t xml:space="preserve">, Sterner M, Gremsperger G, Ahlqvist E, Velija Asimi Z, Prnjavorac B, Hamad N, A, Groop L, Semiz S. </w:t>
      </w:r>
      <w:hyperlink r:id="rId7">
        <w:r w:rsidDel="00000000" w:rsidR="00000000" w:rsidRPr="00000000">
          <w:rPr>
            <w:rFonts w:ascii="Arial" w:cs="Arial" w:eastAsia="Arial" w:hAnsi="Arial"/>
            <w:color w:val="000000"/>
            <w:sz w:val="24"/>
            <w:szCs w:val="24"/>
            <w:highlight w:val="white"/>
            <w:u w:val="none"/>
            <w:rtl w:val="0"/>
          </w:rPr>
          <w:t xml:space="preserve">Association of IRS1 genetic variants with glucose control and insulin resistance in type 2 diabetic patients from Bosnia and Herzegovina</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Drug metabolism and personalized therapy, </w:t>
      </w:r>
      <w:r w:rsidDel="00000000" w:rsidR="00000000" w:rsidRPr="00000000">
        <w:rPr>
          <w:rFonts w:ascii="Arial" w:cs="Arial" w:eastAsia="Arial" w:hAnsi="Arial"/>
          <w:color w:val="000000"/>
          <w:sz w:val="24"/>
          <w:szCs w:val="24"/>
          <w:highlight w:val="white"/>
          <w:rtl w:val="0"/>
        </w:rPr>
        <w:t xml:space="preserve">2019 ;34(1):1-9.</w:t>
      </w:r>
      <w:r w:rsidDel="00000000" w:rsidR="00000000" w:rsidRPr="00000000">
        <w:rPr>
          <w:rtl w:val="0"/>
        </w:rPr>
      </w:r>
    </w:p>
    <w:p w:rsidR="00000000" w:rsidDel="00000000" w:rsidP="00000000" w:rsidRDefault="00000000" w:rsidRPr="00000000" w14:paraId="0000005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numPr>
          <w:ilvl w:val="0"/>
          <w:numId w:val="4"/>
        </w:numPr>
        <w:spacing w:after="0" w:line="360" w:lineRule="auto"/>
        <w:ind w:left="0" w:hanging="357"/>
        <w:jc w:val="both"/>
        <w:rPr>
          <w:rFonts w:ascii="Arial" w:cs="Arial" w:eastAsia="Arial" w:hAnsi="Arial"/>
          <w:sz w:val="24"/>
          <w:szCs w:val="24"/>
        </w:rPr>
      </w:pPr>
      <w:r w:rsidDel="00000000" w:rsidR="00000000" w:rsidRPr="00000000">
        <w:rPr>
          <w:rFonts w:ascii="Arial" w:cs="Arial" w:eastAsia="Arial" w:hAnsi="Arial"/>
          <w:b w:val="1"/>
          <w:color w:val="222222"/>
          <w:sz w:val="24"/>
          <w:szCs w:val="24"/>
          <w:highlight w:val="white"/>
          <w:rtl w:val="0"/>
        </w:rPr>
        <w:t xml:space="preserve">Bego T</w:t>
      </w:r>
      <w:r w:rsidDel="00000000" w:rsidR="00000000" w:rsidRPr="00000000">
        <w:rPr>
          <w:rFonts w:ascii="Arial" w:cs="Arial" w:eastAsia="Arial" w:hAnsi="Arial"/>
          <w:color w:val="222222"/>
          <w:sz w:val="24"/>
          <w:szCs w:val="24"/>
          <w:highlight w:val="white"/>
          <w:rtl w:val="0"/>
        </w:rPr>
        <w:t xml:space="preserve">, Causevic A, Dujic T, Malenica M, Prnjavorac B, Zelija-Velija A, Marc J, Nekvindova J, Palicka V,  Semiz S. Association of FTO gene  variant (rs8050136) with Type 2 diabetes and markers of obesity, glycaemic control and inflammation. </w:t>
      </w:r>
      <w:r w:rsidDel="00000000" w:rsidR="00000000" w:rsidRPr="00000000">
        <w:rPr>
          <w:rFonts w:ascii="Arial" w:cs="Arial" w:eastAsia="Arial" w:hAnsi="Arial"/>
          <w:sz w:val="24"/>
          <w:szCs w:val="24"/>
          <w:rtl w:val="0"/>
        </w:rPr>
        <w:t xml:space="preserve">Journal of Medical Biochemistry</w:t>
      </w:r>
      <w:r w:rsidDel="00000000" w:rsidR="00000000" w:rsidRPr="00000000">
        <w:rPr>
          <w:rFonts w:ascii="Arial" w:cs="Arial" w:eastAsia="Arial" w:hAnsi="Arial"/>
          <w:color w:val="222222"/>
          <w:sz w:val="24"/>
          <w:szCs w:val="24"/>
          <w:highlight w:val="white"/>
          <w:rtl w:val="0"/>
        </w:rPr>
        <w:t xml:space="preserve">. 2018; 37: 1-13.</w:t>
      </w:r>
      <w:r w:rsidDel="00000000" w:rsidR="00000000" w:rsidRPr="00000000">
        <w:rPr>
          <w:rtl w:val="0"/>
        </w:rPr>
      </w:r>
    </w:p>
    <w:p w:rsidR="00000000" w:rsidDel="00000000" w:rsidP="00000000" w:rsidRDefault="00000000" w:rsidRPr="00000000" w14:paraId="00000052">
      <w:pPr>
        <w:shd w:fill="ffffff" w:val="clea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0053">
      <w:pPr>
        <w:numPr>
          <w:ilvl w:val="0"/>
          <w:numId w:val="4"/>
        </w:numPr>
        <w:shd w:fill="ffffff" w:val="clea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Dujic T, Causevic A, </w:t>
      </w:r>
      <w:r w:rsidDel="00000000" w:rsidR="00000000" w:rsidRPr="00000000">
        <w:rPr>
          <w:rFonts w:ascii="Arial" w:cs="Arial" w:eastAsia="Arial" w:hAnsi="Arial"/>
          <w:b w:val="1"/>
          <w:sz w:val="24"/>
          <w:szCs w:val="24"/>
          <w:highlight w:val="white"/>
          <w:rtl w:val="0"/>
        </w:rPr>
        <w:t xml:space="preserve">Bego T</w:t>
      </w:r>
      <w:r w:rsidDel="00000000" w:rsidR="00000000" w:rsidRPr="00000000">
        <w:rPr>
          <w:rFonts w:ascii="Arial" w:cs="Arial" w:eastAsia="Arial" w:hAnsi="Arial"/>
          <w:sz w:val="24"/>
          <w:szCs w:val="24"/>
          <w:highlight w:val="white"/>
          <w:rtl w:val="0"/>
        </w:rPr>
        <w:t xml:space="preserve">, Malenica M, Velija</w:t>
      </w: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Asimi Z, Pearson ER, Semiz S, </w:t>
      </w:r>
      <w:hyperlink r:id="rId8">
        <w:r w:rsidDel="00000000" w:rsidR="00000000" w:rsidRPr="00000000">
          <w:rPr>
            <w:rFonts w:ascii="Arial" w:cs="Arial" w:eastAsia="Arial" w:hAnsi="Arial"/>
            <w:sz w:val="24"/>
            <w:szCs w:val="24"/>
            <w:rtl w:val="0"/>
          </w:rPr>
          <w:t xml:space="preserve">Organic cation transporter 1 variants and gastrointestinal side effects of metformin in patients with Type 2 diabetes</w:t>
        </w:r>
      </w:hyperlink>
      <w:r w:rsidDel="00000000" w:rsidR="00000000" w:rsidRPr="00000000">
        <w:rPr>
          <w:rFonts w:ascii="Arial" w:cs="Arial" w:eastAsia="Arial" w:hAnsi="Arial"/>
          <w:sz w:val="24"/>
          <w:szCs w:val="24"/>
          <w:rtl w:val="0"/>
        </w:rPr>
        <w:t xml:space="preserve">, Diabetic Medicine 2016 Apr 33 (4): 511-514</w:t>
      </w:r>
    </w:p>
    <w:p w:rsidR="00000000" w:rsidDel="00000000" w:rsidP="00000000" w:rsidRDefault="00000000" w:rsidRPr="00000000" w14:paraId="00000054">
      <w:pPr>
        <w:shd w:fill="ffffff" w:val="clea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numPr>
          <w:ilvl w:val="0"/>
          <w:numId w:val="4"/>
        </w:numPr>
        <w:shd w:fill="ffffff" w:val="clea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Bego T</w:t>
      </w:r>
      <w:r w:rsidDel="00000000" w:rsidR="00000000" w:rsidRPr="00000000">
        <w:rPr>
          <w:rFonts w:ascii="Arial" w:cs="Arial" w:eastAsia="Arial" w:hAnsi="Arial"/>
          <w:sz w:val="24"/>
          <w:szCs w:val="24"/>
          <w:rtl w:val="0"/>
        </w:rPr>
        <w:t xml:space="preserve">, Dujić T, Mlinar B, Semiz S, Malenica M, Prnjavorac B, Ostanek B, Marc J,  Čaušević-Ramoševac A, Čaušević A. Association of LPIN1 gene variations with markers of metabolic syndrome in population from Bosnia and Herzegovina, Official publication of the Medical Association of Zenica-Doboj Canton. 2015;12:113-121</w:t>
      </w:r>
    </w:p>
    <w:p w:rsidR="00000000" w:rsidDel="00000000" w:rsidP="00000000" w:rsidRDefault="00000000" w:rsidRPr="00000000" w14:paraId="00000056">
      <w:pPr>
        <w:shd w:fill="ffffff" w:val="clea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numPr>
          <w:ilvl w:val="0"/>
          <w:numId w:val="4"/>
        </w:numPr>
        <w:shd w:fill="ffffff" w:val="clea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L. Kovacevic, K. Tambets, A. Ilumäe, A. Kushniarevich, B. Yunusbayev, A. Solnik, </w:t>
      </w:r>
      <w:r w:rsidDel="00000000" w:rsidR="00000000" w:rsidRPr="00000000">
        <w:rPr>
          <w:rFonts w:ascii="Arial" w:cs="Arial" w:eastAsia="Arial" w:hAnsi="Arial"/>
          <w:b w:val="1"/>
          <w:sz w:val="24"/>
          <w:szCs w:val="24"/>
          <w:highlight w:val="white"/>
          <w:rtl w:val="0"/>
        </w:rPr>
        <w:t xml:space="preserve"> Bego T</w:t>
      </w:r>
      <w:r w:rsidDel="00000000" w:rsidR="00000000" w:rsidRPr="00000000">
        <w:rPr>
          <w:rFonts w:ascii="Arial" w:cs="Arial" w:eastAsia="Arial" w:hAnsi="Arial"/>
          <w:sz w:val="24"/>
          <w:szCs w:val="24"/>
          <w:highlight w:val="white"/>
          <w:rtl w:val="0"/>
        </w:rPr>
        <w:t xml:space="preserve">, D. Primorac, V. Skaro, A. Leskovac, Z. Jakovski, K. Drobnic, H. Tolk, S. Kovacevic, P. Rudan, E. Metspalu, D. Marjanovic. </w:t>
      </w:r>
      <w:hyperlink r:id="rId9">
        <w:r w:rsidDel="00000000" w:rsidR="00000000" w:rsidRPr="00000000">
          <w:rPr>
            <w:rFonts w:ascii="Arial" w:cs="Arial" w:eastAsia="Arial" w:hAnsi="Arial"/>
            <w:sz w:val="24"/>
            <w:szCs w:val="24"/>
            <w:rtl w:val="0"/>
          </w:rPr>
          <w:t xml:space="preserve">Standing at the gateway to Europe-the genetic structure of Western Balkan populations based on autosomal and haploid markers</w:t>
        </w:r>
      </w:hyperlink>
      <w:r w:rsidDel="00000000" w:rsidR="00000000" w:rsidRPr="00000000">
        <w:rPr>
          <w:rFonts w:ascii="Arial" w:cs="Arial" w:eastAsia="Arial" w:hAnsi="Arial"/>
          <w:sz w:val="24"/>
          <w:szCs w:val="24"/>
          <w:rtl w:val="0"/>
        </w:rPr>
        <w:t xml:space="preserve">, </w:t>
      </w:r>
      <w:hyperlink r:id="rId10">
        <w:r w:rsidDel="00000000" w:rsidR="00000000" w:rsidRPr="00000000">
          <w:rPr>
            <w:rFonts w:ascii="Arial" w:cs="Arial" w:eastAsia="Arial" w:hAnsi="Arial"/>
            <w:sz w:val="24"/>
            <w:szCs w:val="24"/>
            <w:rtl w:val="0"/>
          </w:rPr>
          <w:t xml:space="preserve">PLoS One.</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2014 Aug 22;9(8)</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numPr>
          <w:ilvl w:val="0"/>
          <w:numId w:val="4"/>
        </w:numPr>
        <w:shd w:fill="ffffff" w:val="clea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Semiz S, Dujic T, Velija-Asimi Z, Prnjavorac B, </w:t>
      </w:r>
      <w:r w:rsidDel="00000000" w:rsidR="00000000" w:rsidRPr="00000000">
        <w:rPr>
          <w:rFonts w:ascii="Arial" w:cs="Arial" w:eastAsia="Arial" w:hAnsi="Arial"/>
          <w:b w:val="1"/>
          <w:sz w:val="24"/>
          <w:szCs w:val="24"/>
          <w:rtl w:val="0"/>
        </w:rPr>
        <w:t xml:space="preserve">Bego T</w:t>
      </w:r>
      <w:r w:rsidDel="00000000" w:rsidR="00000000" w:rsidRPr="00000000">
        <w:rPr>
          <w:rFonts w:ascii="Arial" w:cs="Arial" w:eastAsia="Arial" w:hAnsi="Arial"/>
          <w:sz w:val="24"/>
          <w:szCs w:val="24"/>
          <w:rtl w:val="0"/>
        </w:rPr>
        <w:t xml:space="preserve">, Ostanek B, Marc J, Causevic A. </w:t>
      </w:r>
      <w:r w:rsidDel="00000000" w:rsidR="00000000" w:rsidRPr="00000000">
        <w:rPr>
          <w:rFonts w:ascii="Arial" w:cs="Arial" w:eastAsia="Arial" w:hAnsi="Arial"/>
          <w:color w:val="000000"/>
          <w:sz w:val="24"/>
          <w:szCs w:val="24"/>
          <w:rtl w:val="0"/>
        </w:rPr>
        <w:t xml:space="preserve">Effects of Melatonin Receptor 1B Gene Variation on Glucose Control in Population from Bosnia and Herzegovina. </w:t>
      </w:r>
      <w:r w:rsidDel="00000000" w:rsidR="00000000" w:rsidRPr="00000000">
        <w:rPr>
          <w:rFonts w:ascii="Arial" w:cs="Arial" w:eastAsia="Arial" w:hAnsi="Arial"/>
          <w:i w:val="1"/>
          <w:color w:val="000000"/>
          <w:sz w:val="24"/>
          <w:szCs w:val="24"/>
          <w:rtl w:val="0"/>
        </w:rPr>
        <w:t xml:space="preserve">Experimental and Clinical Endocrinology and Diabetes.</w:t>
      </w:r>
      <w:r w:rsidDel="00000000" w:rsidR="00000000" w:rsidRPr="00000000">
        <w:rPr>
          <w:rFonts w:ascii="Arial" w:cs="Arial" w:eastAsia="Arial" w:hAnsi="Arial"/>
          <w:color w:val="000000"/>
          <w:sz w:val="24"/>
          <w:szCs w:val="24"/>
          <w:rtl w:val="0"/>
        </w:rPr>
        <w:t xml:space="preserve"> 2014; 122(6):350-5. </w:t>
      </w:r>
      <w:r w:rsidDel="00000000" w:rsidR="00000000" w:rsidRPr="00000000">
        <w:rPr>
          <w:rtl w:val="0"/>
        </w:rPr>
      </w:r>
    </w:p>
    <w:p w:rsidR="00000000" w:rsidDel="00000000" w:rsidP="00000000" w:rsidRDefault="00000000" w:rsidRPr="00000000" w14:paraId="0000005A">
      <w:pPr>
        <w:shd w:fill="ffffff" w:val="clea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numPr>
          <w:ilvl w:val="0"/>
          <w:numId w:val="4"/>
        </w:numPr>
        <w:shd w:fill="ffffff" w:val="clea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Dujic T., </w:t>
      </w:r>
      <w:r w:rsidDel="00000000" w:rsidR="00000000" w:rsidRPr="00000000">
        <w:rPr>
          <w:rFonts w:ascii="Arial" w:cs="Arial" w:eastAsia="Arial" w:hAnsi="Arial"/>
          <w:b w:val="1"/>
          <w:sz w:val="24"/>
          <w:szCs w:val="24"/>
          <w:rtl w:val="0"/>
        </w:rPr>
        <w:t xml:space="preserve">Bego T</w:t>
      </w:r>
      <w:r w:rsidDel="00000000" w:rsidR="00000000" w:rsidRPr="00000000">
        <w:rPr>
          <w:rFonts w:ascii="Arial" w:cs="Arial" w:eastAsia="Arial" w:hAnsi="Arial"/>
          <w:sz w:val="24"/>
          <w:szCs w:val="24"/>
          <w:rtl w:val="0"/>
        </w:rPr>
        <w:t xml:space="preserve">., Mlinar B., Semiz S., Malenica M., Prnjavorac B., Ostanek B, Marc J., Causevic A. Effects of the PPARG gene polymorphisms on markers of obesity and the metabolic syndrome in Bosnian subjects. Journal of Medical Biochemistry. 2014; 33: 323-332</w:t>
      </w:r>
    </w:p>
    <w:p w:rsidR="00000000" w:rsidDel="00000000" w:rsidP="00000000" w:rsidRDefault="00000000" w:rsidRPr="00000000" w14:paraId="0000005C">
      <w:pPr>
        <w:numPr>
          <w:ilvl w:val="0"/>
          <w:numId w:val="4"/>
        </w:numPr>
        <w:shd w:fill="ffffff" w:val="clear"/>
        <w:spacing w:after="0" w:line="360" w:lineRule="auto"/>
        <w:ind w:lef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Dujić, T., </w:t>
      </w:r>
      <w:r w:rsidDel="00000000" w:rsidR="00000000" w:rsidRPr="00000000">
        <w:rPr>
          <w:rFonts w:ascii="Arial" w:cs="Arial" w:eastAsia="Arial" w:hAnsi="Arial"/>
          <w:b w:val="1"/>
          <w:sz w:val="24"/>
          <w:szCs w:val="24"/>
          <w:rtl w:val="0"/>
        </w:rPr>
        <w:t xml:space="preserve">Bego T.</w:t>
      </w:r>
      <w:r w:rsidDel="00000000" w:rsidR="00000000" w:rsidRPr="00000000">
        <w:rPr>
          <w:rFonts w:ascii="Arial" w:cs="Arial" w:eastAsia="Arial" w:hAnsi="Arial"/>
          <w:sz w:val="24"/>
          <w:szCs w:val="24"/>
          <w:rtl w:val="0"/>
        </w:rPr>
        <w:t xml:space="preserve">, Mlinar, B., Semiz, S., Malenica, M., Prnjavorac, B., Marc, J., Causevic, A. Association between 11β-hydroxysteroid dehydrogenase type 1 gene polymorphisms and metabolic syndrome in Bosnian population. Biochemia Medica. </w:t>
      </w:r>
      <w:r w:rsidDel="00000000" w:rsidR="00000000" w:rsidRPr="00000000">
        <w:rPr>
          <w:rFonts w:ascii="Arial" w:cs="Arial" w:eastAsia="Arial" w:hAnsi="Arial"/>
          <w:sz w:val="24"/>
          <w:szCs w:val="24"/>
          <w:highlight w:val="white"/>
          <w:rtl w:val="0"/>
        </w:rPr>
        <w:t xml:space="preserve">2012; 22(1):76–85</w:t>
      </w:r>
      <w:r w:rsidDel="00000000" w:rsidR="00000000" w:rsidRPr="00000000">
        <w:rPr>
          <w:rtl w:val="0"/>
        </w:rPr>
      </w:r>
    </w:p>
    <w:p w:rsidR="00000000" w:rsidDel="00000000" w:rsidP="00000000" w:rsidRDefault="00000000" w:rsidRPr="00000000" w14:paraId="0000005D">
      <w:pPr>
        <w:shd w:fill="ffffff" w:val="clea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numPr>
          <w:ilvl w:val="0"/>
          <w:numId w:val="4"/>
        </w:numPr>
        <w:shd w:fill="ffffff" w:val="clear"/>
        <w:spacing w:after="0" w:line="360" w:lineRule="auto"/>
        <w:ind w:left="0"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Semiz, S., Dujic, T., Ostanek, B., Velija-Asimi, Z., Prnjavorac, B., </w:t>
      </w:r>
      <w:r w:rsidDel="00000000" w:rsidR="00000000" w:rsidRPr="00000000">
        <w:rPr>
          <w:rFonts w:ascii="Arial" w:cs="Arial" w:eastAsia="Arial" w:hAnsi="Arial"/>
          <w:b w:val="1"/>
          <w:sz w:val="24"/>
          <w:szCs w:val="24"/>
          <w:rtl w:val="0"/>
        </w:rPr>
        <w:t xml:space="preserve">Bego, T</w:t>
      </w:r>
      <w:r w:rsidDel="00000000" w:rsidR="00000000" w:rsidRPr="00000000">
        <w:rPr>
          <w:rFonts w:ascii="Arial" w:cs="Arial" w:eastAsia="Arial" w:hAnsi="Arial"/>
          <w:sz w:val="24"/>
          <w:szCs w:val="24"/>
          <w:rtl w:val="0"/>
        </w:rPr>
        <w:t xml:space="preserve">., Malenica, M., Mlinar, B., Heljic, B., Marc, J., Causevic, A. Association of </w:t>
      </w:r>
      <w:r w:rsidDel="00000000" w:rsidR="00000000" w:rsidRPr="00000000">
        <w:rPr>
          <w:rFonts w:ascii="Arial" w:cs="Arial" w:eastAsia="Arial" w:hAnsi="Arial"/>
          <w:i w:val="1"/>
          <w:sz w:val="24"/>
          <w:szCs w:val="24"/>
          <w:rtl w:val="0"/>
        </w:rPr>
        <w:t xml:space="preserve">NAT2 </w:t>
      </w:r>
      <w:r w:rsidDel="00000000" w:rsidR="00000000" w:rsidRPr="00000000">
        <w:rPr>
          <w:rFonts w:ascii="Arial" w:cs="Arial" w:eastAsia="Arial" w:hAnsi="Arial"/>
          <w:sz w:val="24"/>
          <w:szCs w:val="24"/>
          <w:rtl w:val="0"/>
        </w:rPr>
        <w:t xml:space="preserve">polymorphisms with type 2 diabetes in population from Bosnia and Herzegovina. Archives of Medical Research. 2011; 42:311-317.</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cbi.nlm.nih.gov/pubmed/25148043" TargetMode="External"/><Relationship Id="rId9" Type="http://schemas.openxmlformats.org/officeDocument/2006/relationships/hyperlink" Target="http://journals.plos.org/plosone/article?id=10.1371/journal.pone.0105090" TargetMode="External"/><Relationship Id="rId5" Type="http://schemas.openxmlformats.org/officeDocument/2006/relationships/styles" Target="styles.xml"/><Relationship Id="rId6" Type="http://schemas.openxmlformats.org/officeDocument/2006/relationships/hyperlink" Target="http://bjbms.org/ojs/index.php/bjbms/article/view/4181" TargetMode="External"/><Relationship Id="rId7" Type="http://schemas.openxmlformats.org/officeDocument/2006/relationships/hyperlink" Target="https://www.degruyter.com/view/j/dmdi.2019.34.issue-1/dmpt-2018-0031/dmpt-2018-0031.xml" TargetMode="External"/><Relationship Id="rId8" Type="http://schemas.openxmlformats.org/officeDocument/2006/relationships/hyperlink" Target="http://onlinelibrary.wiley.com/doi/10.1111/dme.13040/ful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