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IME I PREZIME: TANJA DUJIĆ</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Radni staž</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Vanredni profesor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Biokemiju i kliničke analize</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Docent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Biokemiju i kliničke analize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 Viši asistent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Biokemiju i kliničke analize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 Asistent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Biokemiju i kliničke analize</w:t>
      </w:r>
    </w:p>
    <w:p w:rsidR="00000000" w:rsidDel="00000000" w:rsidP="00000000" w:rsidRDefault="00000000" w:rsidRPr="00000000" w14:paraId="0000000C">
      <w:pPr>
        <w:pageBreakBefore w:val="0"/>
        <w:rPr>
          <w:b w:val="1"/>
        </w:rPr>
      </w:pPr>
      <w:r w:rsidDel="00000000" w:rsidR="00000000" w:rsidRPr="00000000">
        <w:rPr>
          <w:b w:val="1"/>
          <w:rtl w:val="0"/>
        </w:rPr>
        <w:t xml:space="preserve">Obrazovanje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Spec.</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Specijalistički ispit iz Kliničke farmacije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2015. Dr. sc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Doktorska disertacija : Karakterizacija genetskih varijanti koje utječu na odgovor na terapiju metforminom kod pacijenata s tipom 2 dijabetesa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2011. Mr sc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Magistarska teza: Genetski polimorfizmi PPARγ i 11-beta-hidroksisteroid dehidrogenaze tipa 1 (11β-HSD1) – potencijalni faktori rizika u razvoju metaboličkog sindroma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2004. Mr.ph.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Diplomski rad: Ispitivanje efikasnosti ekstrakcije herbicida derivata klorofenoksi karboksilnih kiselina sa čvrstih polimera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Studijski boravci u inostranstvu</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Oktobar 2015 – Oktobar 2016 Medicinski fakultet, Univerzitet u Dundeeju, Velika Britanija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Postdoktoralno istraživanje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Januar 2014 – April 2014 Medicinski fakultet, Univerzitet u Dundeeju, Velika Britanija Stipendija Europske fondacije za istraživanje dijabetesa za mlade naučnike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Mart 2012 – April 2012 Farmaceutski fakultet, Univerzitet u Ljubljani, Slovenija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CEEPUS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stipendija za studente doktorskog studija</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Septembar 2009 – Mart 2010 Farmaceutski fakultet, Univerzitet u Ljubljani, Slovenija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Erasmus Mundus External Cooperation Window Project Basileus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stipendija za studente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magistarskog studija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b w:val="1"/>
          <w:rtl w:val="0"/>
        </w:rPr>
        <w:t xml:space="preserve">Nagrade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Februar 2018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Seed Award in Science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Nagrada britanske fondacije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Wellcome Trust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za naučno-istraživački projekt</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Novembar 2016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Danubius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nagrada za najboljeg mladog naučnika u Bosni i Hercegovini u 2016. godini</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Novembar 2016 Nagrada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Medis Award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za najbolji naučno-istraživački rad objavljen iz područja farmacije </w:t>
      </w: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Nastavni rad</w:t>
      </w:r>
    </w:p>
    <w:p w:rsidR="00000000" w:rsidDel="00000000" w:rsidP="00000000" w:rsidRDefault="00000000" w:rsidRPr="00000000" w14:paraId="0000002B">
      <w:pPr>
        <w:pageBreakBefore w:val="0"/>
        <w:rPr/>
      </w:pPr>
      <w:r w:rsidDel="00000000" w:rsidR="00000000" w:rsidRPr="00000000">
        <w:rPr>
          <w:rtl w:val="0"/>
        </w:rPr>
        <w:t xml:space="preserve">Integrisani studij I i II ciklusa Farmaceutskog fakulteta Univerziteta u Sarajevu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Biokemija lijekova, Odabrana poglavlja iz Biokemije lijekova - Farmakogenomika i personalizirani lijekovi</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III ciklus studija na Farmaceutskom fakultetu Univerziteta u Sarajevu</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Farmakogenomika i personalizirana terapija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Aktivnosti na Fakultetu: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t xml:space="preserve">2022-           Prodekan za naučno-istraživački rad</w:t>
      </w:r>
      <w:r w:rsidDel="00000000" w:rsidR="00000000" w:rsidRPr="00000000">
        <w:rPr>
          <w:rtl w:val="0"/>
        </w:rPr>
      </w:r>
    </w:p>
    <w:p w:rsidR="00000000" w:rsidDel="00000000" w:rsidP="00000000" w:rsidRDefault="00000000" w:rsidRPr="00000000" w14:paraId="00000033">
      <w:pPr>
        <w:numPr>
          <w:ilvl w:val="0"/>
          <w:numId w:val="2"/>
        </w:numPr>
        <w:spacing w:after="68" w:line="240" w:lineRule="auto"/>
        <w:ind w:left="720" w:hanging="360"/>
        <w:rPr/>
      </w:pPr>
      <w:r w:rsidDel="00000000" w:rsidR="00000000" w:rsidRPr="00000000">
        <w:rPr>
          <w:rtl w:val="0"/>
        </w:rPr>
        <w:t xml:space="preserve">2018-           Rukovoditelj Centra za naučno-istraživački rad</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w:t>
      </w:r>
      <w:r w:rsidDel="00000000" w:rsidR="00000000" w:rsidRPr="00000000">
        <w:rPr>
          <w:rtl w:val="0"/>
        </w:rPr>
        <w:t xml:space="preserve">2021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Rukovoditelj</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Katedre za Biokemiju i kliničke analize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2012-2013  Član Upravnog odbora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Projekti: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2018-202</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Wellcome Trust Seed Award in Science: "Interaction between omeprazole and gliclazide in CYP2C19 normal/ ultrarapid metabolisers", voditelj projekta: Doc. dr. Tanja Dujić (209943/Z/17/Z)</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2017-2018, Federalno ministarstvo obrazovanja i nauke Bosne i Hercegovine „Značaj određivanja parametara oksidativnog stresa, inflamacije i hemostaze u ranoj dijagnostici gojaznosti u pedijatrijskoj populaciji“, voditelj projekta: Doc. dr. Maja Malenica</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2015-2016, Wellcome Trust New Investigator Award: “Stratified medicine in Type 2 diabetes: Insights from the study of drug response”, voditelj projekta: Prof. dr. Ewan Pearson (102820/Z/13/Z)</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2013-2014, Vijeće ministara BiH „Personalizirana terapija i prognoza razvoja Tip 2 dijabetesa kroz evropsku mrežu naučnih timova, voditelj projekta: Prof. dr. Sabina Semiz</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2012-2014, Federalno ministarstvo obrazovanja i nauke  Bosne i Hercegovine „Farmakogenetski faktori povezani sa optimalnom terapijom Tipa 2 dijabetesa“, voditelj projekta: Prof. dr. Sabina Semiz</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2010-2011, Vijeće ministara BiH, Programi za pripremu projekata i potencijalnih kandidata za sredstva iz fonda EU-FP7 za 2010. godinu, „Genetičke varijacije enzima koji metaboliziraju lijekove kod tipa 2 dijabetesa“, voditelj projekta: Doc. dr. Sabina Semiz</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2009-2010, Vijeće ministara BiH, Programi za pripremu projekata i potencijalnih kandidata za sredstva iz fonda EU-FP7 za 2009. godinu, „Karakterizacija genetskih varijacija u evropskoj populaciji za sigurnu i efikasnu upotrebu statina u cilju prevencije kardiovaskularnih bolesti“, voditelj projekta: Doc. dr. Sabina Semiz</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2008-2010, Ministarstvo civilnih poslova BiH, Znanstveno-istraživačka suradnja između Republike Slovenije i BiH, „Genetički polimorfizmi vezani s povećanim rizikom za metabolički sindrom“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voditelj projekta: Prof. dr. Adlija Čaušević</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2007-2009, Kantonalno ministarstvo obrazovanja i nauke Kantona Sarajevo, „Asparat aminotransferaza, alanin aminotransferaza, alkalna fosfataza kao potencijalni markeri u predikaciji i predviđanju progresivnih promjena kod diabetes mellitus-a tipa II“, voditelj projekta: Prof. dr. Adlija Čaušević</w:t>
      </w:r>
    </w:p>
    <w:p w:rsidR="00000000" w:rsidDel="00000000" w:rsidP="00000000" w:rsidRDefault="00000000" w:rsidRPr="00000000" w14:paraId="00000042">
      <w:pPr>
        <w:pageBreakBefore w:val="0"/>
        <w:rPr>
          <w:b w:val="1"/>
        </w:rPr>
      </w:pPr>
      <w:r w:rsidDel="00000000" w:rsidR="00000000" w:rsidRPr="00000000">
        <w:rPr>
          <w:b w:val="1"/>
          <w:rtl w:val="0"/>
        </w:rPr>
        <w:t xml:space="preserve">Odabrane publikacije (do 10 odabranih publikacija):</w:t>
      </w:r>
    </w:p>
    <w:p w:rsidR="00000000" w:rsidDel="00000000" w:rsidP="00000000" w:rsidRDefault="00000000" w:rsidRPr="00000000" w14:paraId="00000043">
      <w:pPr>
        <w:numPr>
          <w:ilvl w:val="0"/>
          <w:numId w:val="1"/>
        </w:numPr>
        <w:spacing w:after="240" w:before="240" w:lineRule="auto"/>
        <w:ind w:left="786" w:hanging="360"/>
        <w:jc w:val="both"/>
        <w:rPr/>
      </w:pPr>
      <w:r w:rsidDel="00000000" w:rsidR="00000000" w:rsidRPr="00000000">
        <w:rPr>
          <w:u w:val="single"/>
          <w:rtl w:val="0"/>
        </w:rPr>
        <w:t xml:space="preserve">Dujic T</w:t>
      </w:r>
      <w:r w:rsidDel="00000000" w:rsidR="00000000" w:rsidRPr="00000000">
        <w:rPr>
          <w:rtl w:val="0"/>
        </w:rPr>
        <w:t xml:space="preserve">, Cvijic S, Elezovic A, Bego T, Imamovic Kadric S, Malenica M, Elezovic A, Pearson ER, Kulo A. Interaction between Omeprazole and Gliclazide in Relation to CYP2C19 Phenotype. </w:t>
      </w:r>
      <w:r w:rsidDel="00000000" w:rsidR="00000000" w:rsidRPr="00000000">
        <w:rPr>
          <w:i w:val="1"/>
          <w:rtl w:val="0"/>
        </w:rPr>
        <w:t xml:space="preserve">Journal of Personalized Medicine</w:t>
      </w:r>
      <w:r w:rsidDel="00000000" w:rsidR="00000000" w:rsidRPr="00000000">
        <w:rPr>
          <w:rtl w:val="0"/>
        </w:rPr>
        <w:t xml:space="preserve">. 2021;11(5):367. </w:t>
      </w:r>
    </w:p>
    <w:p w:rsidR="00000000" w:rsidDel="00000000" w:rsidP="00000000" w:rsidRDefault="00000000" w:rsidRPr="00000000" w14:paraId="00000044">
      <w:pPr>
        <w:numPr>
          <w:ilvl w:val="0"/>
          <w:numId w:val="1"/>
        </w:numPr>
        <w:spacing w:after="240" w:before="240" w:lineRule="auto"/>
        <w:ind w:left="786" w:hanging="360"/>
        <w:jc w:val="both"/>
        <w:rPr/>
      </w:pPr>
      <w:r w:rsidDel="00000000" w:rsidR="00000000" w:rsidRPr="00000000">
        <w:rPr>
          <w:u w:val="single"/>
          <w:rtl w:val="0"/>
        </w:rPr>
        <w:t xml:space="preserve">Dujic T</w:t>
      </w:r>
      <w:r w:rsidDel="00000000" w:rsidR="00000000" w:rsidRPr="00000000">
        <w:rPr>
          <w:rtl w:val="0"/>
        </w:rPr>
        <w:t xml:space="preserve">, Bego T, Malenica M, Velija-Asimi Z, Ahlqvist E, Groop L, Pearson ER, Causevic A, Semiz S. Effects of TCF7L2 rs7903146 variant on metformin response in patients with type 2 diabetes. </w:t>
      </w:r>
      <w:r w:rsidDel="00000000" w:rsidR="00000000" w:rsidRPr="00000000">
        <w:rPr>
          <w:i w:val="1"/>
          <w:rtl w:val="0"/>
        </w:rPr>
        <w:t xml:space="preserve">Bosnian Journal of Basic Medical Sciences</w:t>
      </w:r>
      <w:r w:rsidDel="00000000" w:rsidR="00000000" w:rsidRPr="00000000">
        <w:rPr>
          <w:rtl w:val="0"/>
        </w:rPr>
        <w:t xml:space="preserve">. 2019;19(4):368-374</w:t>
      </w:r>
    </w:p>
    <w:p w:rsidR="00000000" w:rsidDel="00000000" w:rsidP="00000000" w:rsidRDefault="00000000" w:rsidRPr="00000000" w14:paraId="00000045">
      <w:pPr>
        <w:pageBreakBefore w:val="0"/>
        <w:numPr>
          <w:ilvl w:val="0"/>
          <w:numId w:val="1"/>
        </w:numPr>
        <w:ind w:left="786" w:hanging="360"/>
        <w:jc w:val="both"/>
        <w:rPr/>
      </w:pPr>
      <w:r w:rsidDel="00000000" w:rsidR="00000000" w:rsidRPr="00000000">
        <w:rPr>
          <w:u w:val="single"/>
          <w:rtl w:val="0"/>
        </w:rPr>
        <w:t xml:space="preserve">Dujic T</w:t>
      </w:r>
      <w:r w:rsidDel="00000000" w:rsidR="00000000" w:rsidRPr="00000000">
        <w:rPr>
          <w:rtl w:val="0"/>
        </w:rPr>
        <w:t xml:space="preserve">, Zhou K, Donnelly LA, Leese G, Palmer CNA, Pearson ER. Interaction between variants in the CYP2C9 and POR genes and the risk of sulfonylurea-induced hypoglycaemia: A GoDARTS Study. </w:t>
      </w:r>
      <w:r w:rsidDel="00000000" w:rsidR="00000000" w:rsidRPr="00000000">
        <w:rPr>
          <w:i w:val="1"/>
          <w:rtl w:val="0"/>
        </w:rPr>
        <w:t xml:space="preserve">Diabetes, Obesity and Metabolism</w:t>
      </w:r>
      <w:r w:rsidDel="00000000" w:rsidR="00000000" w:rsidRPr="00000000">
        <w:rPr>
          <w:rtl w:val="0"/>
        </w:rPr>
        <w:t xml:space="preserve">. 2018;20(1):211-214</w:t>
      </w:r>
    </w:p>
    <w:p w:rsidR="00000000" w:rsidDel="00000000" w:rsidP="00000000" w:rsidRDefault="00000000" w:rsidRPr="00000000" w14:paraId="00000046">
      <w:pPr>
        <w:pageBreakBefore w:val="0"/>
        <w:numPr>
          <w:ilvl w:val="0"/>
          <w:numId w:val="1"/>
        </w:numPr>
        <w:ind w:left="786" w:hanging="360"/>
        <w:jc w:val="both"/>
        <w:rPr/>
      </w:pPr>
      <w:r w:rsidDel="00000000" w:rsidR="00000000" w:rsidRPr="00000000">
        <w:rPr>
          <w:u w:val="single"/>
          <w:rtl w:val="0"/>
        </w:rPr>
        <w:t xml:space="preserve">Dujic T</w:t>
      </w:r>
      <w:r w:rsidDel="00000000" w:rsidR="00000000" w:rsidRPr="00000000">
        <w:rPr>
          <w:rtl w:val="0"/>
        </w:rPr>
        <w:t xml:space="preserve">, Zhou K, Yee SW, van Leeuwen N, de Keyser CE, Javorsky M, Goswami S, Zaharenko L, Christensen MM, Out M, Tavendale R, Kubo M, Hedderson MM, van der Heijden AA, Klimcakova L, Pirags V, Kooy A, Brosen K, Klovins J, Semiz S, Tkac I, Stricker BH, Palmer CN, t Hart LM, Giacomini KM, Pearson ER. Variants in Pharmacokinetic Transporters and Glycaemic Response to Metformin: A MetGen Meta-Analysis. </w:t>
      </w:r>
      <w:r w:rsidDel="00000000" w:rsidR="00000000" w:rsidRPr="00000000">
        <w:rPr>
          <w:i w:val="1"/>
          <w:rtl w:val="0"/>
        </w:rPr>
        <w:t xml:space="preserve">Clinical Pharmacology &amp; Therapeutics</w:t>
      </w:r>
      <w:r w:rsidDel="00000000" w:rsidR="00000000" w:rsidRPr="00000000">
        <w:rPr>
          <w:rtl w:val="0"/>
        </w:rPr>
        <w:t xml:space="preserve"> 2017; 101(6):763-772</w:t>
      </w:r>
    </w:p>
    <w:p w:rsidR="00000000" w:rsidDel="00000000" w:rsidP="00000000" w:rsidRDefault="00000000" w:rsidRPr="00000000" w14:paraId="00000047">
      <w:pPr>
        <w:pageBreakBefore w:val="0"/>
        <w:numPr>
          <w:ilvl w:val="0"/>
          <w:numId w:val="1"/>
        </w:numPr>
        <w:ind w:left="786" w:hanging="360"/>
        <w:jc w:val="both"/>
        <w:rPr/>
      </w:pPr>
      <w:r w:rsidDel="00000000" w:rsidR="00000000" w:rsidRPr="00000000">
        <w:rPr>
          <w:u w:val="single"/>
          <w:rtl w:val="0"/>
        </w:rPr>
        <w:t xml:space="preserve">Dujic T</w:t>
      </w:r>
      <w:r w:rsidDel="00000000" w:rsidR="00000000" w:rsidRPr="00000000">
        <w:rPr>
          <w:rtl w:val="0"/>
        </w:rPr>
        <w:t xml:space="preserve">, Zhou K, Tavendale R, Palmer CN, Pearson ER. Effect of Serotonin Transporter 5-HTTLPR Polymorphism on Gastrointestinal Intolerance to Metformin: A GoDARTS Study. </w:t>
      </w:r>
      <w:r w:rsidDel="00000000" w:rsidR="00000000" w:rsidRPr="00000000">
        <w:rPr>
          <w:i w:val="1"/>
          <w:rtl w:val="0"/>
        </w:rPr>
        <w:t xml:space="preserve">Diabetes Care</w:t>
      </w:r>
      <w:r w:rsidDel="00000000" w:rsidR="00000000" w:rsidRPr="00000000">
        <w:rPr>
          <w:rtl w:val="0"/>
        </w:rPr>
        <w:t xml:space="preserve"> 2016;39:1896-1901</w:t>
      </w:r>
    </w:p>
    <w:p w:rsidR="00000000" w:rsidDel="00000000" w:rsidP="00000000" w:rsidRDefault="00000000" w:rsidRPr="00000000" w14:paraId="00000048">
      <w:pPr>
        <w:pageBreakBefore w:val="0"/>
        <w:numPr>
          <w:ilvl w:val="0"/>
          <w:numId w:val="1"/>
        </w:numPr>
        <w:ind w:left="786" w:hanging="360"/>
        <w:jc w:val="both"/>
        <w:rPr/>
      </w:pPr>
      <w:r w:rsidDel="00000000" w:rsidR="00000000" w:rsidRPr="00000000">
        <w:rPr>
          <w:rtl w:val="0"/>
        </w:rPr>
        <w:t xml:space="preserve">Zhou K, Yee SW, Seiser EL, van Leeuwen N, Tavendale R, Bennett AJ, Groves CJ, Coleman RL, van der Heijden AA, Beulens JW, de Keyser CE, Zaharenko L, Rotroff DM, Out M, Jablonski KA, Chen L, Javorsky M, Zidzik J, Levin AM, Williams LK, </w:t>
      </w:r>
      <w:r w:rsidDel="00000000" w:rsidR="00000000" w:rsidRPr="00000000">
        <w:rPr>
          <w:u w:val="single"/>
          <w:rtl w:val="0"/>
        </w:rPr>
        <w:t xml:space="preserve">Dujic T</w:t>
      </w:r>
      <w:r w:rsidDel="00000000" w:rsidR="00000000" w:rsidRPr="00000000">
        <w:rPr>
          <w:rtl w:val="0"/>
        </w:rPr>
        <w:t xml:space="preserve">, Semiz S, Kubo M, Chien HC, Maeda S, Witte JS, Wu L, Tkac I, Kooy A, van Schaik RH, Stehouwer CD, Logie L, MetGen I, Investigators DPP, Investigators A, Sutherland C, Klovins J, Pirags V, Hofman A, Stricker BH, Motsinger-Reif AA, Wagner MJ, Innocenti F, Hart LM, Holman RR, McCarthy MI, Hedderson MM, Palmer CN, Florez JC, Giacomini KM, Pearson ER. Variation in the glucose transporter gene SLC2A2 is associated with glycemic response to metformin. </w:t>
      </w:r>
      <w:r w:rsidDel="00000000" w:rsidR="00000000" w:rsidRPr="00000000">
        <w:rPr>
          <w:i w:val="1"/>
          <w:rtl w:val="0"/>
        </w:rPr>
        <w:t xml:space="preserve">Nature Genetics</w:t>
      </w:r>
      <w:r w:rsidDel="00000000" w:rsidR="00000000" w:rsidRPr="00000000">
        <w:rPr>
          <w:rtl w:val="0"/>
        </w:rPr>
        <w:t xml:space="preserve"> 2016;48:1055-1059</w:t>
      </w:r>
    </w:p>
    <w:p w:rsidR="00000000" w:rsidDel="00000000" w:rsidP="00000000" w:rsidRDefault="00000000" w:rsidRPr="00000000" w14:paraId="00000049">
      <w:pPr>
        <w:pageBreakBefore w:val="0"/>
        <w:numPr>
          <w:ilvl w:val="0"/>
          <w:numId w:val="1"/>
        </w:numPr>
        <w:ind w:left="786" w:hanging="360"/>
        <w:jc w:val="both"/>
        <w:rPr/>
      </w:pPr>
      <w:r w:rsidDel="00000000" w:rsidR="00000000" w:rsidRPr="00000000">
        <w:rPr>
          <w:u w:val="single"/>
          <w:rtl w:val="0"/>
        </w:rPr>
        <w:t xml:space="preserve">Dujic T</w:t>
      </w:r>
      <w:r w:rsidDel="00000000" w:rsidR="00000000" w:rsidRPr="00000000">
        <w:rPr>
          <w:rtl w:val="0"/>
        </w:rPr>
        <w:t xml:space="preserve">, Causevic A, Bego T, Malenica M, Velija-Asimi Z, Pearson ER, Semiz S. Organic Cation Transporter 1 Variants and Gastrointestinal Side Effects of Metformin in Patients with Type 2 Diabetes. </w:t>
      </w:r>
      <w:r w:rsidDel="00000000" w:rsidR="00000000" w:rsidRPr="00000000">
        <w:rPr>
          <w:i w:val="1"/>
          <w:rtl w:val="0"/>
        </w:rPr>
        <w:t xml:space="preserve">Diabetic Medicine</w:t>
      </w:r>
      <w:r w:rsidDel="00000000" w:rsidR="00000000" w:rsidRPr="00000000">
        <w:rPr>
          <w:rtl w:val="0"/>
        </w:rPr>
        <w:t xml:space="preserve">. 2016;33(4):511-4</w:t>
      </w:r>
    </w:p>
    <w:p w:rsidR="00000000" w:rsidDel="00000000" w:rsidP="00000000" w:rsidRDefault="00000000" w:rsidRPr="00000000" w14:paraId="0000004A">
      <w:pPr>
        <w:pageBreakBefore w:val="0"/>
        <w:numPr>
          <w:ilvl w:val="0"/>
          <w:numId w:val="1"/>
        </w:numPr>
        <w:ind w:left="786" w:hanging="360"/>
        <w:jc w:val="both"/>
        <w:rPr/>
      </w:pPr>
      <w:r w:rsidDel="00000000" w:rsidR="00000000" w:rsidRPr="00000000">
        <w:rPr>
          <w:u w:val="single"/>
          <w:rtl w:val="0"/>
        </w:rPr>
        <w:t xml:space="preserve">Dujic T</w:t>
      </w:r>
      <w:r w:rsidDel="00000000" w:rsidR="00000000" w:rsidRPr="00000000">
        <w:rPr>
          <w:rtl w:val="0"/>
        </w:rPr>
        <w:t xml:space="preserve">, Zhou K, Donnelly LA, Tavendale R, Palmer CN, Pearson ER. Association of Organic Cation Transporter 1 with Intolerance to Metformin in Type 2 Diabetes: A GoDARTS Study. </w:t>
      </w:r>
      <w:r w:rsidDel="00000000" w:rsidR="00000000" w:rsidRPr="00000000">
        <w:rPr>
          <w:i w:val="1"/>
          <w:rtl w:val="0"/>
        </w:rPr>
        <w:t xml:space="preserve">Diabetes</w:t>
      </w:r>
      <w:r w:rsidDel="00000000" w:rsidR="00000000" w:rsidRPr="00000000">
        <w:rPr>
          <w:rtl w:val="0"/>
        </w:rPr>
        <w:t xml:space="preserve">. 2015; 64(5): 1786-93.</w:t>
      </w:r>
    </w:p>
    <w:p w:rsidR="00000000" w:rsidDel="00000000" w:rsidP="00000000" w:rsidRDefault="00000000" w:rsidRPr="00000000" w14:paraId="0000004B">
      <w:pPr>
        <w:pageBreakBefore w:val="0"/>
        <w:numPr>
          <w:ilvl w:val="0"/>
          <w:numId w:val="1"/>
        </w:numPr>
        <w:ind w:left="786" w:hanging="360"/>
        <w:jc w:val="both"/>
        <w:rPr/>
      </w:pPr>
      <w:r w:rsidDel="00000000" w:rsidR="00000000" w:rsidRPr="00000000">
        <w:rPr>
          <w:u w:val="single"/>
          <w:rtl w:val="0"/>
        </w:rPr>
        <w:t xml:space="preserve">Dujic T</w:t>
      </w:r>
      <w:r w:rsidDel="00000000" w:rsidR="00000000" w:rsidRPr="00000000">
        <w:rPr>
          <w:rtl w:val="0"/>
        </w:rPr>
        <w:t xml:space="preserve">, Bego T, Mlinar B, Semiz S, Malenica M, Prnjavorac B, Ostanek B, Marc J, Causevic A. Effects of the </w:t>
      </w:r>
      <w:r w:rsidDel="00000000" w:rsidR="00000000" w:rsidRPr="00000000">
        <w:rPr>
          <w:i w:val="1"/>
          <w:rtl w:val="0"/>
        </w:rPr>
        <w:t xml:space="preserve">PPARG</w:t>
      </w:r>
      <w:r w:rsidDel="00000000" w:rsidR="00000000" w:rsidRPr="00000000">
        <w:rPr>
          <w:rtl w:val="0"/>
        </w:rPr>
        <w:t xml:space="preserve"> gene polymorphisms on markers of obesity and the metabolic syndrome in Bosnian subjects. </w:t>
      </w:r>
      <w:r w:rsidDel="00000000" w:rsidR="00000000" w:rsidRPr="00000000">
        <w:rPr>
          <w:i w:val="1"/>
          <w:rtl w:val="0"/>
        </w:rPr>
        <w:t xml:space="preserve">Journal of Medical Biochemistry</w:t>
      </w:r>
      <w:r w:rsidDel="00000000" w:rsidR="00000000" w:rsidRPr="00000000">
        <w:rPr>
          <w:rtl w:val="0"/>
        </w:rPr>
        <w:t xml:space="preserve">. 2014; 33(4):323-32. </w:t>
      </w:r>
    </w:p>
    <w:p w:rsidR="00000000" w:rsidDel="00000000" w:rsidP="00000000" w:rsidRDefault="00000000" w:rsidRPr="00000000" w14:paraId="0000004C">
      <w:pPr>
        <w:pageBreakBefore w:val="0"/>
        <w:numPr>
          <w:ilvl w:val="0"/>
          <w:numId w:val="1"/>
        </w:numPr>
        <w:ind w:left="786" w:hanging="360"/>
        <w:jc w:val="both"/>
        <w:rPr/>
      </w:pPr>
      <w:r w:rsidDel="00000000" w:rsidR="00000000" w:rsidRPr="00000000">
        <w:rPr>
          <w:u w:val="single"/>
          <w:rtl w:val="0"/>
        </w:rPr>
        <w:t xml:space="preserve">Dujic T</w:t>
      </w:r>
      <w:r w:rsidDel="00000000" w:rsidR="00000000" w:rsidRPr="00000000">
        <w:rPr>
          <w:rtl w:val="0"/>
        </w:rPr>
        <w:t xml:space="preserve">, Bego T, Mlinar B, Semiz S, Malenica M, Prnjavorac B, Ostanek B, Marc J, Causevic A. Association between 11beta-hydroxysteroid dehydrogenase type 1 gene polymorphisms and metabolic syndrome in Bosnian population. </w:t>
      </w:r>
      <w:r w:rsidDel="00000000" w:rsidR="00000000" w:rsidRPr="00000000">
        <w:rPr>
          <w:i w:val="1"/>
          <w:rtl w:val="0"/>
        </w:rPr>
        <w:t xml:space="preserve">Biochemia Medica</w:t>
      </w:r>
      <w:r w:rsidDel="00000000" w:rsidR="00000000" w:rsidRPr="00000000">
        <w:rPr>
          <w:rtl w:val="0"/>
        </w:rPr>
        <w:t xml:space="preserve">. 2012; 22(1):76-85.</w:t>
      </w:r>
    </w:p>
    <w:p w:rsidR="00000000" w:rsidDel="00000000" w:rsidP="00000000" w:rsidRDefault="00000000" w:rsidRPr="00000000" w14:paraId="0000004D">
      <w:pPr>
        <w:pageBreakBefore w:val="0"/>
        <w:ind w:left="786" w:firstLine="0"/>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pageBreakBefore w:val="0"/>
        <w:jc w:val="both"/>
        <w:rPr/>
      </w:pPr>
      <w:r w:rsidDel="00000000" w:rsidR="00000000" w:rsidRPr="00000000">
        <w:rPr>
          <w:rtl w:val="0"/>
        </w:rPr>
      </w:r>
    </w:p>
    <w:p w:rsidR="00000000" w:rsidDel="00000000" w:rsidP="00000000" w:rsidRDefault="00000000" w:rsidRPr="00000000" w14:paraId="00000050">
      <w:pPr>
        <w:pageBreakBefore w:val="0"/>
        <w:jc w:val="both"/>
        <w:rPr>
          <w:i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6" w:hanging="360.0000000000001"/>
      </w:pPr>
      <w:rPr/>
    </w:lvl>
    <w:lvl w:ilvl="1">
      <w:start w:val="1"/>
      <w:numFmt w:val="lowerLetter"/>
      <w:lvlText w:val="%2."/>
      <w:lvlJc w:val="left"/>
      <w:pPr>
        <w:ind w:left="-1820" w:hanging="360"/>
      </w:pPr>
      <w:rPr/>
    </w:lvl>
    <w:lvl w:ilvl="2">
      <w:start w:val="1"/>
      <w:numFmt w:val="lowerRoman"/>
      <w:lvlText w:val="%3."/>
      <w:lvlJc w:val="right"/>
      <w:pPr>
        <w:ind w:left="-1100" w:hanging="180"/>
      </w:pPr>
      <w:rPr/>
    </w:lvl>
    <w:lvl w:ilvl="3">
      <w:start w:val="1"/>
      <w:numFmt w:val="decimal"/>
      <w:lvlText w:val="%4."/>
      <w:lvlJc w:val="left"/>
      <w:pPr>
        <w:ind w:left="-380" w:hanging="360"/>
      </w:pPr>
      <w:rPr/>
    </w:lvl>
    <w:lvl w:ilvl="4">
      <w:start w:val="1"/>
      <w:numFmt w:val="lowerLetter"/>
      <w:lvlText w:val="%5."/>
      <w:lvlJc w:val="left"/>
      <w:pPr>
        <w:ind w:left="340" w:hanging="360"/>
      </w:pPr>
      <w:rPr/>
    </w:lvl>
    <w:lvl w:ilvl="5">
      <w:start w:val="1"/>
      <w:numFmt w:val="lowerRoman"/>
      <w:lvlText w:val="%6."/>
      <w:lvlJc w:val="right"/>
      <w:pPr>
        <w:ind w:left="1060" w:hanging="180"/>
      </w:pPr>
      <w:rPr/>
    </w:lvl>
    <w:lvl w:ilvl="6">
      <w:start w:val="1"/>
      <w:numFmt w:val="decimal"/>
      <w:lvlText w:val="%7."/>
      <w:lvlJc w:val="left"/>
      <w:pPr>
        <w:ind w:left="1780" w:hanging="360"/>
      </w:pPr>
      <w:rPr/>
    </w:lvl>
    <w:lvl w:ilvl="7">
      <w:start w:val="1"/>
      <w:numFmt w:val="lowerLetter"/>
      <w:lvlText w:val="%8."/>
      <w:lvlJc w:val="left"/>
      <w:pPr>
        <w:ind w:left="2500" w:hanging="360"/>
      </w:pPr>
      <w:rPr/>
    </w:lvl>
    <w:lvl w:ilvl="8">
      <w:start w:val="1"/>
      <w:numFmt w:val="lowerRoman"/>
      <w:lvlText w:val="%9."/>
      <w:lvlJc w:val="right"/>
      <w:pPr>
        <w:ind w:left="32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